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黑体" w:eastAsia="黑体"/>
          <w:sz w:val="36"/>
          <w:szCs w:val="36"/>
        </w:rPr>
      </w:pPr>
      <w:r>
        <w:rPr>
          <w:rFonts w:ascii="宋体" w:hAnsi="宋体" w:cs="隶书"/>
          <w:color w:val="000000"/>
          <w:sz w:val="44"/>
          <w:szCs w:val="44"/>
        </w:rPr>
        <w:drawing>
          <wp:inline distT="0" distB="0" distL="0" distR="0">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pPr>
        <w:spacing w:line="360" w:lineRule="auto"/>
        <w:jc w:val="center"/>
        <w:rPr>
          <w:rFonts w:ascii="黑体" w:eastAsia="黑体"/>
          <w:sz w:val="36"/>
          <w:szCs w:val="36"/>
        </w:rPr>
      </w:pPr>
    </w:p>
    <w:p>
      <w:pPr>
        <w:spacing w:line="360" w:lineRule="auto"/>
        <w:jc w:val="center"/>
        <w:rPr>
          <w:rFonts w:ascii="黑体" w:eastAsia="黑体"/>
          <w:sz w:val="44"/>
          <w:szCs w:val="44"/>
        </w:rPr>
      </w:pPr>
    </w:p>
    <w:p>
      <w:pPr>
        <w:spacing w:line="360" w:lineRule="auto"/>
        <w:jc w:val="center"/>
        <w:rPr>
          <w:rFonts w:asciiTheme="minorEastAsia" w:hAnsiTheme="minorEastAsia" w:eastAsiaTheme="minorEastAsia"/>
          <w:b/>
          <w:sz w:val="44"/>
          <w:szCs w:val="44"/>
        </w:rPr>
      </w:pPr>
      <w:r>
        <w:rPr>
          <w:rFonts w:hint="eastAsia" w:asciiTheme="minorEastAsia" w:hAnsiTheme="minorEastAsia" w:eastAsiaTheme="minorEastAsia"/>
          <w:sz w:val="84"/>
          <w:szCs w:val="84"/>
        </w:rPr>
        <w:t>广发银行股份有限公司</w:t>
      </w:r>
      <w:r>
        <w:rPr>
          <w:rFonts w:hint="eastAsia" w:asciiTheme="minorEastAsia" w:hAnsiTheme="minorEastAsia" w:eastAsiaTheme="minorEastAsia"/>
          <w:b/>
          <w:sz w:val="44"/>
          <w:szCs w:val="44"/>
        </w:rPr>
        <w:t>2019年度舆情监测服务采购项目</w:t>
      </w:r>
    </w:p>
    <w:p>
      <w:pPr>
        <w:spacing w:line="360" w:lineRule="auto"/>
        <w:jc w:val="center"/>
        <w:rPr>
          <w:rFonts w:asciiTheme="minorEastAsia" w:hAnsiTheme="minorEastAsia" w:eastAsiaTheme="minorEastAsia"/>
          <w:b/>
          <w:sz w:val="44"/>
          <w:szCs w:val="44"/>
          <w:highlight w:val="yellow"/>
        </w:rPr>
      </w:pPr>
      <w:r>
        <w:rPr>
          <w:rFonts w:hint="eastAsia" w:asciiTheme="minorEastAsia" w:hAnsiTheme="minorEastAsia" w:eastAsiaTheme="minorEastAsia"/>
          <w:b/>
          <w:sz w:val="44"/>
          <w:szCs w:val="44"/>
        </w:rPr>
        <w:t>项目编号：</w:t>
      </w:r>
      <w:r>
        <w:rPr>
          <w:rFonts w:asciiTheme="minorEastAsia" w:hAnsiTheme="minorEastAsia" w:eastAsiaTheme="minorEastAsia"/>
          <w:b/>
          <w:sz w:val="44"/>
          <w:szCs w:val="44"/>
        </w:rPr>
        <w:t>CGB-</w:t>
      </w:r>
      <w:r>
        <w:rPr>
          <w:rFonts w:hint="eastAsia" w:asciiTheme="minorEastAsia" w:hAnsiTheme="minorEastAsia" w:eastAsiaTheme="minorEastAsia"/>
          <w:b/>
          <w:sz w:val="44"/>
          <w:szCs w:val="44"/>
        </w:rPr>
        <w:t>HO</w:t>
      </w:r>
      <w:r>
        <w:rPr>
          <w:rFonts w:asciiTheme="minorEastAsia" w:hAnsiTheme="minorEastAsia" w:eastAsiaTheme="minorEastAsia"/>
          <w:b/>
          <w:sz w:val="44"/>
          <w:szCs w:val="44"/>
        </w:rPr>
        <w:t>-20</w:t>
      </w:r>
      <w:r>
        <w:rPr>
          <w:rFonts w:hint="eastAsia" w:asciiTheme="minorEastAsia" w:hAnsiTheme="minorEastAsia" w:eastAsiaTheme="minorEastAsia"/>
          <w:b/>
          <w:sz w:val="44"/>
          <w:szCs w:val="44"/>
        </w:rPr>
        <w:t>19</w:t>
      </w:r>
      <w:r>
        <w:rPr>
          <w:rFonts w:asciiTheme="minorEastAsia" w:hAnsiTheme="minorEastAsia" w:eastAsiaTheme="minorEastAsia"/>
          <w:b/>
          <w:sz w:val="44"/>
          <w:szCs w:val="44"/>
        </w:rPr>
        <w:t>-XXX</w:t>
      </w: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竞争性磋商文件</w:t>
      </w: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Theme="minorEastAsia" w:hAnsiTheme="minorEastAsia" w:eastAsiaTheme="minorEastAsia"/>
        </w:rPr>
      </w:pPr>
    </w:p>
    <w:p>
      <w:pPr>
        <w:spacing w:line="360" w:lineRule="auto"/>
        <w:jc w:val="center"/>
        <w:rPr>
          <w:rFonts w:ascii="华文新魏" w:eastAsia="华文新魏"/>
          <w:sz w:val="32"/>
          <w:szCs w:val="32"/>
        </w:rPr>
      </w:pPr>
      <w:r>
        <w:rPr>
          <w:rFonts w:hint="eastAsia" w:asciiTheme="minorEastAsia" w:hAnsiTheme="minorEastAsia" w:eastAsiaTheme="minorEastAsia"/>
          <w:color w:val="000000"/>
          <w:sz w:val="32"/>
        </w:rPr>
        <w:t>日期：</w:t>
      </w:r>
      <w:r>
        <w:rPr>
          <w:rFonts w:asciiTheme="minorEastAsia" w:hAnsiTheme="minorEastAsia" w:eastAsiaTheme="minorEastAsia"/>
          <w:color w:val="000000"/>
          <w:sz w:val="32"/>
          <w:u w:val="single"/>
        </w:rPr>
        <w:t>20</w:t>
      </w:r>
      <w:r>
        <w:rPr>
          <w:rFonts w:hint="eastAsia" w:asciiTheme="minorEastAsia" w:hAnsiTheme="minorEastAsia" w:eastAsiaTheme="minorEastAsia"/>
          <w:color w:val="000000"/>
          <w:sz w:val="32"/>
          <w:u w:val="single"/>
        </w:rPr>
        <w:t>19</w:t>
      </w:r>
      <w:r>
        <w:rPr>
          <w:rFonts w:hint="eastAsia" w:asciiTheme="minorEastAsia" w:hAnsiTheme="minorEastAsia" w:eastAsiaTheme="minorEastAsia"/>
          <w:color w:val="000000"/>
          <w:sz w:val="32"/>
        </w:rPr>
        <w:t>年</w:t>
      </w:r>
      <w:r>
        <w:rPr>
          <w:rFonts w:hint="eastAsia" w:asciiTheme="minorEastAsia" w:hAnsiTheme="minorEastAsia" w:eastAsiaTheme="minorEastAsia"/>
          <w:color w:val="000000"/>
          <w:sz w:val="32"/>
          <w:u w:val="single"/>
        </w:rPr>
        <w:t>4</w:t>
      </w:r>
      <w:r>
        <w:rPr>
          <w:rFonts w:hint="eastAsia" w:asciiTheme="minorEastAsia" w:hAnsiTheme="minorEastAsia" w:eastAsiaTheme="minorEastAsia"/>
          <w:color w:val="000000"/>
          <w:sz w:val="32"/>
        </w:rPr>
        <w:t>月</w:t>
      </w:r>
      <w:bookmarkStart w:id="0" w:name="_Toc296002922"/>
      <w:bookmarkStart w:id="1" w:name="_Toc296006324"/>
      <w:bookmarkStart w:id="2" w:name="_Toc296003017"/>
      <w:bookmarkStart w:id="3" w:name="_Toc296002843"/>
      <w:bookmarkStart w:id="4" w:name="_Toc296006393"/>
    </w:p>
    <w:p>
      <w:pPr>
        <w:widowControl/>
        <w:jc w:val="left"/>
        <w:rPr>
          <w:sz w:val="32"/>
          <w:szCs w:val="32"/>
        </w:rPr>
      </w:pPr>
      <w:r>
        <w:rPr>
          <w:sz w:val="32"/>
          <w:szCs w:val="32"/>
        </w:rPr>
        <w:br w:type="page"/>
      </w:r>
    </w:p>
    <w:p>
      <w:pPr>
        <w:spacing w:after="240" w:afterLines="100" w:line="360" w:lineRule="auto"/>
        <w:jc w:val="center"/>
        <w:rPr>
          <w:b/>
          <w:sz w:val="32"/>
          <w:szCs w:val="32"/>
        </w:rPr>
      </w:pPr>
      <w:r>
        <w:rPr>
          <w:rFonts w:hint="eastAsia"/>
          <w:b/>
          <w:sz w:val="32"/>
          <w:szCs w:val="32"/>
        </w:rPr>
        <w:t>总目录</w:t>
      </w:r>
      <w:bookmarkEnd w:id="0"/>
      <w:bookmarkEnd w:id="1"/>
      <w:bookmarkEnd w:id="2"/>
      <w:bookmarkEnd w:id="3"/>
      <w:bookmarkEnd w:id="4"/>
    </w:p>
    <w:p>
      <w:pPr>
        <w:pStyle w:val="46"/>
        <w:tabs>
          <w:tab w:val="right" w:leader="dot" w:pos="9232"/>
        </w:tabs>
        <w:rPr>
          <w:rFonts w:asciiTheme="minorHAnsi" w:hAnsiTheme="minorHAnsi" w:eastAsiaTheme="minorEastAsia" w:cstheme="minorBidi"/>
          <w:b w:val="0"/>
          <w:bCs w:val="0"/>
          <w:caps w:val="0"/>
          <w:sz w:val="21"/>
          <w:szCs w:val="22"/>
        </w:rPr>
      </w:pPr>
      <w:bookmarkStart w:id="5" w:name="_Toc296003018"/>
      <w:bookmarkStart w:id="6" w:name="_Toc296006394"/>
      <w:bookmarkStart w:id="7" w:name="_Toc296006325"/>
      <w:r>
        <w:rPr>
          <w:rFonts w:ascii="宋体" w:hAnsi="宋体"/>
          <w:b w:val="0"/>
          <w:bCs w:val="0"/>
          <w:caps w:val="0"/>
          <w:sz w:val="21"/>
          <w:szCs w:val="21"/>
        </w:rPr>
        <w:fldChar w:fldCharType="begin"/>
      </w:r>
      <w:r>
        <w:rPr>
          <w:rFonts w:ascii="宋体" w:hAnsi="宋体"/>
          <w:b w:val="0"/>
          <w:bCs w:val="0"/>
          <w:caps w:val="0"/>
          <w:sz w:val="21"/>
          <w:szCs w:val="21"/>
        </w:rPr>
        <w:instrText xml:space="preserve"> TOC \o "1-3" \h \z \u </w:instrText>
      </w:r>
      <w:r>
        <w:rPr>
          <w:rFonts w:ascii="宋体" w:hAnsi="宋体"/>
          <w:b w:val="0"/>
          <w:bCs w:val="0"/>
          <w:caps w:val="0"/>
          <w:sz w:val="21"/>
          <w:szCs w:val="21"/>
        </w:rPr>
        <w:fldChar w:fldCharType="separate"/>
      </w:r>
      <w:r>
        <w:fldChar w:fldCharType="begin"/>
      </w:r>
      <w:r>
        <w:instrText xml:space="preserve"> HYPERLINK \l "_Toc507608741" </w:instrText>
      </w:r>
      <w:r>
        <w:fldChar w:fldCharType="separate"/>
      </w:r>
      <w:r>
        <w:rPr>
          <w:rStyle w:val="69"/>
          <w:rFonts w:hint="eastAsia" w:asciiTheme="minorEastAsia" w:hAnsiTheme="minorEastAsia" w:cstheme="minorEastAsia"/>
        </w:rPr>
        <w:t>第一部分</w:t>
      </w:r>
      <w:r>
        <w:rPr>
          <w:rStyle w:val="69"/>
          <w:rFonts w:asciiTheme="minorEastAsia" w:hAnsiTheme="minorEastAsia" w:cstheme="minorEastAsia"/>
        </w:rPr>
        <w:t xml:space="preserve"> </w:t>
      </w:r>
      <w:r>
        <w:rPr>
          <w:rStyle w:val="69"/>
          <w:rFonts w:hint="eastAsia" w:asciiTheme="minorEastAsia" w:hAnsiTheme="minorEastAsia" w:cstheme="minorEastAsia"/>
        </w:rPr>
        <w:t>采购公告</w:t>
      </w:r>
      <w:r>
        <w:tab/>
      </w:r>
      <w:r>
        <w:fldChar w:fldCharType="begin"/>
      </w:r>
      <w:r>
        <w:instrText xml:space="preserve"> PAGEREF _Toc507608741 \h </w:instrText>
      </w:r>
      <w:r>
        <w:fldChar w:fldCharType="separate"/>
      </w:r>
      <w:r>
        <w:t>3</w:t>
      </w:r>
      <w:r>
        <w:fldChar w:fldCharType="end"/>
      </w:r>
      <w:r>
        <w:fldChar w:fldCharType="end"/>
      </w:r>
    </w:p>
    <w:p>
      <w:pPr>
        <w:pStyle w:val="46"/>
        <w:tabs>
          <w:tab w:val="right" w:leader="dot" w:pos="9232"/>
        </w:tabs>
        <w:rPr>
          <w:rFonts w:asciiTheme="minorHAnsi" w:hAnsiTheme="minorHAnsi" w:eastAsiaTheme="minorEastAsia" w:cstheme="minorBidi"/>
          <w:b w:val="0"/>
          <w:bCs w:val="0"/>
          <w:caps w:val="0"/>
          <w:sz w:val="21"/>
          <w:szCs w:val="22"/>
        </w:rPr>
      </w:pPr>
      <w:r>
        <w:fldChar w:fldCharType="begin"/>
      </w:r>
      <w:r>
        <w:instrText xml:space="preserve"> HYPERLINK \l "_Toc507608742" </w:instrText>
      </w:r>
      <w:r>
        <w:fldChar w:fldCharType="separate"/>
      </w:r>
      <w:r>
        <w:rPr>
          <w:rStyle w:val="69"/>
          <w:rFonts w:hint="eastAsia"/>
        </w:rPr>
        <w:t>第二部分</w:t>
      </w:r>
      <w:r>
        <w:rPr>
          <w:rStyle w:val="69"/>
        </w:rPr>
        <w:t xml:space="preserve"> </w:t>
      </w:r>
      <w:r>
        <w:rPr>
          <w:rStyle w:val="69"/>
          <w:rFonts w:hint="eastAsia"/>
        </w:rPr>
        <w:t>供应商须知</w:t>
      </w:r>
      <w:r>
        <w:tab/>
      </w:r>
      <w:r>
        <w:fldChar w:fldCharType="begin"/>
      </w:r>
      <w:r>
        <w:instrText xml:space="preserve"> PAGEREF _Toc507608742 \h </w:instrText>
      </w:r>
      <w:r>
        <w:fldChar w:fldCharType="separate"/>
      </w:r>
      <w:r>
        <w:t>4</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"_Toc507608743" </w:instrText>
      </w:r>
      <w:r>
        <w:fldChar w:fldCharType="separate"/>
      </w:r>
      <w:r>
        <w:rPr>
          <w:rStyle w:val="69"/>
          <w:rFonts w:hint="eastAsia" w:asciiTheme="minorEastAsia" w:hAnsiTheme="minorEastAsia"/>
          <w:b/>
          <w:kern w:val="1"/>
        </w:rPr>
        <w:t>一、说明</w:t>
      </w:r>
      <w:r>
        <w:tab/>
      </w:r>
      <w:r>
        <w:fldChar w:fldCharType="begin"/>
      </w:r>
      <w:r>
        <w:instrText xml:space="preserve"> PAGEREF _Toc507608743 \h </w:instrText>
      </w:r>
      <w:r>
        <w:fldChar w:fldCharType="separate"/>
      </w:r>
      <w:r>
        <w:t>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"_Toc507608744" </w:instrText>
      </w:r>
      <w:r>
        <w:fldChar w:fldCharType="separate"/>
      </w:r>
      <w:r>
        <w:rPr>
          <w:rStyle w:val="69"/>
          <w:rFonts w:hint="eastAsia" w:asciiTheme="minorEastAsia" w:hAnsiTheme="minorEastAsia"/>
          <w:b/>
          <w:kern w:val="1"/>
        </w:rPr>
        <w:t>二、磋商文件</w:t>
      </w:r>
      <w:r>
        <w:tab/>
      </w:r>
      <w:r>
        <w:fldChar w:fldCharType="begin"/>
      </w:r>
      <w:r>
        <w:instrText xml:space="preserve"> PAGEREF _Toc507608744 \h </w:instrText>
      </w:r>
      <w:r>
        <w:fldChar w:fldCharType="separate"/>
      </w:r>
      <w:r>
        <w:t>8</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"_Toc507608745" </w:instrText>
      </w:r>
      <w:r>
        <w:fldChar w:fldCharType="separate"/>
      </w:r>
      <w:r>
        <w:rPr>
          <w:rStyle w:val="69"/>
          <w:rFonts w:hint="eastAsia" w:asciiTheme="minorEastAsia" w:hAnsiTheme="minorEastAsia"/>
          <w:b/>
          <w:kern w:val="1"/>
        </w:rPr>
        <w:t>三、响应文件的编制</w:t>
      </w:r>
      <w:r>
        <w:tab/>
      </w:r>
      <w:r>
        <w:fldChar w:fldCharType="begin"/>
      </w:r>
      <w:r>
        <w:instrText xml:space="preserve"> PAGEREF _Toc507608745 \h </w:instrText>
      </w:r>
      <w:r>
        <w:fldChar w:fldCharType="separate"/>
      </w:r>
      <w:r>
        <w:t>9</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"_Toc507608746" </w:instrText>
      </w:r>
      <w:r>
        <w:fldChar w:fldCharType="separate"/>
      </w:r>
      <w:r>
        <w:rPr>
          <w:rStyle w:val="69"/>
          <w:rFonts w:hint="eastAsia" w:asciiTheme="minorEastAsia" w:hAnsiTheme="minorEastAsia"/>
          <w:b/>
          <w:kern w:val="0"/>
        </w:rPr>
        <w:t>四、响应报价要求</w:t>
      </w:r>
      <w:r>
        <w:tab/>
      </w:r>
      <w:r>
        <w:fldChar w:fldCharType="begin"/>
      </w:r>
      <w:r>
        <w:instrText xml:space="preserve"> PAGEREF _Toc507608746 \h </w:instrText>
      </w:r>
      <w:r>
        <w:fldChar w:fldCharType="separate"/>
      </w:r>
      <w:r>
        <w:t>11</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"_Toc507608747" </w:instrText>
      </w:r>
      <w:r>
        <w:fldChar w:fldCharType="separate"/>
      </w:r>
      <w:r>
        <w:rPr>
          <w:rStyle w:val="69"/>
          <w:rFonts w:hint="eastAsia" w:asciiTheme="minorEastAsia" w:hAnsiTheme="minorEastAsia"/>
          <w:b/>
          <w:kern w:val="1"/>
        </w:rPr>
        <w:t>五、磋商保证金</w:t>
      </w:r>
      <w:r>
        <w:tab/>
      </w:r>
      <w:r>
        <w:fldChar w:fldCharType="begin"/>
      </w:r>
      <w:r>
        <w:instrText xml:space="preserve"> PAGEREF _Toc507608747 \h </w:instrText>
      </w:r>
      <w:r>
        <w:fldChar w:fldCharType="separate"/>
      </w:r>
      <w:r>
        <w:t>11</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"_Toc507608748" </w:instrText>
      </w:r>
      <w:r>
        <w:fldChar w:fldCharType="separate"/>
      </w:r>
      <w:r>
        <w:rPr>
          <w:rStyle w:val="69"/>
          <w:rFonts w:hint="eastAsia" w:asciiTheme="minorEastAsia" w:hAnsiTheme="minorEastAsia"/>
          <w:b/>
          <w:kern w:val="0"/>
        </w:rPr>
        <w:t>六、响应文件的份数、封装和递交</w:t>
      </w:r>
      <w:r>
        <w:tab/>
      </w:r>
      <w:r>
        <w:fldChar w:fldCharType="begin"/>
      </w:r>
      <w:r>
        <w:instrText xml:space="preserve"> PAGEREF _Toc507608748 \h </w:instrText>
      </w:r>
      <w:r>
        <w:fldChar w:fldCharType="separate"/>
      </w:r>
      <w:r>
        <w:t>11</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"_Toc507608749" </w:instrText>
      </w:r>
      <w:r>
        <w:fldChar w:fldCharType="separate"/>
      </w:r>
      <w:r>
        <w:rPr>
          <w:rStyle w:val="69"/>
          <w:rFonts w:hint="eastAsia" w:asciiTheme="minorEastAsia" w:hAnsiTheme="minorEastAsia"/>
          <w:b/>
          <w:kern w:val="0"/>
        </w:rPr>
        <w:t>七、磋商及评审</w:t>
      </w:r>
      <w:r>
        <w:tab/>
      </w:r>
      <w:r>
        <w:fldChar w:fldCharType="begin"/>
      </w:r>
      <w:r>
        <w:instrText xml:space="preserve"> PAGEREF _Toc507608749 \h </w:instrText>
      </w:r>
      <w:r>
        <w:fldChar w:fldCharType="separate"/>
      </w:r>
      <w:r>
        <w:t>13</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"_Toc507608750" </w:instrText>
      </w:r>
      <w:r>
        <w:fldChar w:fldCharType="separate"/>
      </w:r>
      <w:r>
        <w:rPr>
          <w:rStyle w:val="69"/>
          <w:rFonts w:hint="eastAsia" w:asciiTheme="minorEastAsia" w:hAnsiTheme="minorEastAsia"/>
          <w:b/>
          <w:kern w:val="0"/>
        </w:rPr>
        <w:t>八、确定中选供应商办法</w:t>
      </w:r>
      <w:r>
        <w:tab/>
      </w:r>
      <w:r>
        <w:fldChar w:fldCharType="begin"/>
      </w:r>
      <w:r>
        <w:instrText xml:space="preserve"> PAGEREF _Toc507608750 \h </w:instrText>
      </w:r>
      <w:r>
        <w:fldChar w:fldCharType="separate"/>
      </w:r>
      <w:r>
        <w:t>13</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"_Toc507608751" </w:instrText>
      </w:r>
      <w:r>
        <w:fldChar w:fldCharType="separate"/>
      </w:r>
      <w:r>
        <w:rPr>
          <w:rStyle w:val="69"/>
          <w:rFonts w:hint="eastAsia" w:asciiTheme="minorEastAsia" w:hAnsiTheme="minorEastAsia"/>
          <w:b/>
          <w:kern w:val="0"/>
        </w:rPr>
        <w:t>九、异议和投诉</w:t>
      </w:r>
      <w:r>
        <w:tab/>
      </w:r>
      <w:r>
        <w:fldChar w:fldCharType="begin"/>
      </w:r>
      <w:r>
        <w:instrText xml:space="preserve"> PAGEREF _Toc507608751 \h </w:instrText>
      </w:r>
      <w:r>
        <w:fldChar w:fldCharType="separate"/>
      </w:r>
      <w:r>
        <w:t>13</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"_Toc507608752" </w:instrText>
      </w:r>
      <w:r>
        <w:fldChar w:fldCharType="separate"/>
      </w:r>
      <w:r>
        <w:rPr>
          <w:rStyle w:val="69"/>
          <w:rFonts w:hint="eastAsia" w:asciiTheme="minorEastAsia" w:hAnsiTheme="minorEastAsia"/>
          <w:b/>
          <w:kern w:val="0"/>
        </w:rPr>
        <w:t>十、签订合同</w:t>
      </w:r>
      <w:r>
        <w:tab/>
      </w:r>
      <w:r>
        <w:fldChar w:fldCharType="begin"/>
      </w:r>
      <w:r>
        <w:instrText xml:space="preserve"> PAGEREF _Toc507608752 \h </w:instrText>
      </w:r>
      <w:r>
        <w:fldChar w:fldCharType="separate"/>
      </w:r>
      <w:r>
        <w:t>14</w:t>
      </w:r>
      <w:r>
        <w:fldChar w:fldCharType="end"/>
      </w:r>
      <w:r>
        <w:fldChar w:fldCharType="end"/>
      </w:r>
    </w:p>
    <w:p>
      <w:pPr>
        <w:pStyle w:val="46"/>
        <w:tabs>
          <w:tab w:val="right" w:leader="dot" w:pos="9232"/>
        </w:tabs>
        <w:rPr>
          <w:rFonts w:asciiTheme="minorHAnsi" w:hAnsiTheme="minorHAnsi" w:eastAsiaTheme="minorEastAsia" w:cstheme="minorBidi"/>
          <w:b w:val="0"/>
          <w:bCs w:val="0"/>
          <w:caps w:val="0"/>
          <w:sz w:val="21"/>
          <w:szCs w:val="22"/>
        </w:rPr>
      </w:pPr>
      <w:r>
        <w:fldChar w:fldCharType="begin"/>
      </w:r>
      <w:r>
        <w:instrText xml:space="preserve"> HYPERLINK \l "_Toc507608753" </w:instrText>
      </w:r>
      <w:r>
        <w:fldChar w:fldCharType="separate"/>
      </w:r>
      <w:r>
        <w:rPr>
          <w:rStyle w:val="69"/>
          <w:rFonts w:hint="eastAsia"/>
        </w:rPr>
        <w:t>第三部分</w:t>
      </w:r>
      <w:r>
        <w:rPr>
          <w:rStyle w:val="69"/>
        </w:rPr>
        <w:t xml:space="preserve"> </w:t>
      </w:r>
      <w:r>
        <w:rPr>
          <w:rStyle w:val="69"/>
          <w:rFonts w:hint="eastAsia"/>
        </w:rPr>
        <w:t>用户需求书</w:t>
      </w:r>
      <w:r>
        <w:tab/>
      </w:r>
      <w:r>
        <w:fldChar w:fldCharType="begin"/>
      </w:r>
      <w:r>
        <w:instrText xml:space="preserve"> PAGEREF _Toc507608753 \h </w:instrText>
      </w:r>
      <w:r>
        <w:fldChar w:fldCharType="separate"/>
      </w:r>
      <w:r>
        <w:t>16</w:t>
      </w:r>
      <w:r>
        <w:fldChar w:fldCharType="end"/>
      </w:r>
      <w:r>
        <w:fldChar w:fldCharType="end"/>
      </w:r>
    </w:p>
    <w:p>
      <w:pPr>
        <w:pStyle w:val="46"/>
        <w:tabs>
          <w:tab w:val="right" w:leader="dot" w:pos="9232"/>
        </w:tabs>
        <w:rPr>
          <w:rFonts w:asciiTheme="minorHAnsi" w:hAnsiTheme="minorHAnsi" w:eastAsiaTheme="minorEastAsia" w:cstheme="minorBidi"/>
          <w:b w:val="0"/>
          <w:bCs w:val="0"/>
          <w:caps w:val="0"/>
          <w:sz w:val="21"/>
          <w:szCs w:val="22"/>
        </w:rPr>
      </w:pPr>
      <w:r>
        <w:fldChar w:fldCharType="begin"/>
      </w:r>
      <w:r>
        <w:instrText xml:space="preserve"> HYPERLINK \l "_Toc507608754" </w:instrText>
      </w:r>
      <w:r>
        <w:fldChar w:fldCharType="separate"/>
      </w:r>
      <w:r>
        <w:rPr>
          <w:rStyle w:val="69"/>
          <w:rFonts w:hint="eastAsia"/>
        </w:rPr>
        <w:t>第四部分</w:t>
      </w:r>
      <w:r>
        <w:rPr>
          <w:rStyle w:val="69"/>
        </w:rPr>
        <w:t xml:space="preserve"> </w:t>
      </w:r>
      <w:r>
        <w:rPr>
          <w:rStyle w:val="69"/>
          <w:rFonts w:hint="eastAsia"/>
        </w:rPr>
        <w:t>合同书格式</w:t>
      </w:r>
      <w:r>
        <w:tab/>
      </w:r>
      <w:r>
        <w:fldChar w:fldCharType="begin"/>
      </w:r>
      <w:r>
        <w:instrText xml:space="preserve"> PAGEREF _Toc507608754 \h </w:instrText>
      </w:r>
      <w:r>
        <w:fldChar w:fldCharType="separate"/>
      </w:r>
      <w:r>
        <w:t>23</w:t>
      </w:r>
      <w:r>
        <w:fldChar w:fldCharType="end"/>
      </w:r>
      <w:r>
        <w:fldChar w:fldCharType="end"/>
      </w:r>
    </w:p>
    <w:p>
      <w:pPr>
        <w:pStyle w:val="46"/>
        <w:tabs>
          <w:tab w:val="right" w:leader="dot" w:pos="9232"/>
        </w:tabs>
        <w:rPr>
          <w:rFonts w:asciiTheme="minorHAnsi" w:hAnsiTheme="minorHAnsi" w:eastAsiaTheme="minorEastAsia" w:cstheme="minorBidi"/>
          <w:b w:val="0"/>
          <w:bCs w:val="0"/>
          <w:caps w:val="0"/>
          <w:sz w:val="21"/>
          <w:szCs w:val="22"/>
        </w:rPr>
      </w:pPr>
      <w:r>
        <w:fldChar w:fldCharType="begin"/>
      </w:r>
      <w:r>
        <w:instrText xml:space="preserve"> HYPERLINK \l "_Toc507608755" </w:instrText>
      </w:r>
      <w:r>
        <w:fldChar w:fldCharType="separate"/>
      </w:r>
      <w:r>
        <w:rPr>
          <w:rStyle w:val="69"/>
          <w:rFonts w:hint="eastAsia" w:asciiTheme="minorEastAsia" w:hAnsiTheme="minorEastAsia"/>
          <w:kern w:val="1"/>
        </w:rPr>
        <w:t>第五部分</w:t>
      </w:r>
      <w:r>
        <w:rPr>
          <w:rStyle w:val="69"/>
          <w:rFonts w:asciiTheme="minorEastAsia" w:hAnsiTheme="minorEastAsia"/>
          <w:kern w:val="1"/>
        </w:rPr>
        <w:t xml:space="preserve"> </w:t>
      </w:r>
      <w:r>
        <w:rPr>
          <w:rStyle w:val="69"/>
          <w:rFonts w:hint="eastAsia" w:asciiTheme="minorEastAsia" w:hAnsiTheme="minorEastAsia"/>
          <w:kern w:val="1"/>
        </w:rPr>
        <w:t>评审办法</w:t>
      </w:r>
      <w:r>
        <w:tab/>
      </w:r>
      <w:r>
        <w:fldChar w:fldCharType="begin"/>
      </w:r>
      <w:r>
        <w:instrText xml:space="preserve"> PAGEREF _Toc507608755 \h </w:instrText>
      </w:r>
      <w:r>
        <w:fldChar w:fldCharType="separate"/>
      </w:r>
      <w:r>
        <w:t>37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"_Toc507608756" </w:instrText>
      </w:r>
      <w:r>
        <w:fldChar w:fldCharType="separate"/>
      </w:r>
      <w:r>
        <w:rPr>
          <w:rStyle w:val="69"/>
          <w:rFonts w:hint="eastAsia" w:asciiTheme="minorEastAsia" w:hAnsiTheme="minorEastAsia"/>
          <w:b/>
          <w:kern w:val="1"/>
        </w:rPr>
        <w:t>一、总则</w:t>
      </w:r>
      <w:r>
        <w:tab/>
      </w:r>
      <w:r>
        <w:fldChar w:fldCharType="begin"/>
      </w:r>
      <w:r>
        <w:instrText xml:space="preserve"> PAGEREF _Toc507608756 \h </w:instrText>
      </w:r>
      <w:r>
        <w:fldChar w:fldCharType="separate"/>
      </w:r>
      <w:r>
        <w:t>37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"_Toc507608757" </w:instrText>
      </w:r>
      <w:r>
        <w:fldChar w:fldCharType="separate"/>
      </w:r>
      <w:r>
        <w:rPr>
          <w:rStyle w:val="69"/>
          <w:rFonts w:hint="eastAsia" w:asciiTheme="minorEastAsia" w:hAnsiTheme="minorEastAsia"/>
          <w:b/>
          <w:kern w:val="1"/>
        </w:rPr>
        <w:t>二、评审方法</w:t>
      </w:r>
      <w:r>
        <w:tab/>
      </w:r>
      <w:r>
        <w:fldChar w:fldCharType="begin"/>
      </w:r>
      <w:r>
        <w:instrText xml:space="preserve"> PAGEREF _Toc507608757 \h </w:instrText>
      </w:r>
      <w:r>
        <w:fldChar w:fldCharType="separate"/>
      </w:r>
      <w:r>
        <w:t>37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"_Toc507608758" </w:instrText>
      </w:r>
      <w:r>
        <w:fldChar w:fldCharType="separate"/>
      </w:r>
      <w:r>
        <w:rPr>
          <w:rStyle w:val="69"/>
          <w:rFonts w:hint="eastAsia" w:asciiTheme="minorEastAsia" w:hAnsiTheme="minorEastAsia"/>
          <w:b/>
          <w:kern w:val="1"/>
        </w:rPr>
        <w:t>三、磋商及最终报价</w:t>
      </w:r>
      <w:r>
        <w:tab/>
      </w:r>
      <w:r>
        <w:fldChar w:fldCharType="begin"/>
      </w:r>
      <w:r>
        <w:instrText xml:space="preserve"> PAGEREF _Toc507608758 \h </w:instrText>
      </w:r>
      <w:r>
        <w:fldChar w:fldCharType="separate"/>
      </w:r>
      <w:r>
        <w:t>37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"_Toc507608759" </w:instrText>
      </w:r>
      <w:r>
        <w:fldChar w:fldCharType="separate"/>
      </w:r>
      <w:r>
        <w:rPr>
          <w:rStyle w:val="69"/>
          <w:rFonts w:hint="eastAsia" w:asciiTheme="minorEastAsia" w:hAnsiTheme="minorEastAsia"/>
          <w:b/>
          <w:kern w:val="1"/>
        </w:rPr>
        <w:t>四、初步评审</w:t>
      </w:r>
      <w:r>
        <w:tab/>
      </w:r>
      <w:r>
        <w:fldChar w:fldCharType="begin"/>
      </w:r>
      <w:r>
        <w:instrText xml:space="preserve"> PAGEREF _Toc507608759 \h </w:instrText>
      </w:r>
      <w:r>
        <w:fldChar w:fldCharType="separate"/>
      </w:r>
      <w:r>
        <w:t>38</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"_Toc507608760" </w:instrText>
      </w:r>
      <w:r>
        <w:fldChar w:fldCharType="separate"/>
      </w:r>
      <w:r>
        <w:rPr>
          <w:rStyle w:val="69"/>
          <w:rFonts w:hint="eastAsia" w:asciiTheme="minorEastAsia" w:hAnsiTheme="minorEastAsia"/>
          <w:b/>
          <w:kern w:val="1"/>
        </w:rPr>
        <w:t>五、详细评审</w:t>
      </w:r>
      <w:r>
        <w:tab/>
      </w:r>
      <w:r>
        <w:fldChar w:fldCharType="begin"/>
      </w:r>
      <w:r>
        <w:instrText xml:space="preserve"> PAGEREF _Toc507608760 \h </w:instrText>
      </w:r>
      <w:r>
        <w:fldChar w:fldCharType="separate"/>
      </w:r>
      <w:r>
        <w:t>38</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"_Toc507608761" </w:instrText>
      </w:r>
      <w:r>
        <w:fldChar w:fldCharType="separate"/>
      </w:r>
      <w:r>
        <w:rPr>
          <w:rStyle w:val="69"/>
          <w:rFonts w:hint="eastAsia" w:asciiTheme="minorEastAsia" w:hAnsiTheme="minorEastAsia"/>
          <w:b/>
          <w:kern w:val="1"/>
        </w:rPr>
        <w:t>六、推荐中选供应商</w:t>
      </w:r>
      <w:r>
        <w:tab/>
      </w:r>
      <w:r>
        <w:fldChar w:fldCharType="begin"/>
      </w:r>
      <w:r>
        <w:instrText xml:space="preserve"> PAGEREF _Toc507608761 \h </w:instrText>
      </w:r>
      <w:r>
        <w:fldChar w:fldCharType="separate"/>
      </w:r>
      <w:r>
        <w:t>39</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"_Toc507608762" </w:instrText>
      </w:r>
      <w:r>
        <w:fldChar w:fldCharType="separate"/>
      </w:r>
      <w:r>
        <w:rPr>
          <w:rStyle w:val="69"/>
          <w:rFonts w:hint="eastAsia" w:asciiTheme="minorEastAsia" w:hAnsiTheme="minorEastAsia"/>
          <w:b/>
          <w:kern w:val="1"/>
        </w:rPr>
        <w:t>七、法律责任</w:t>
      </w:r>
      <w:r>
        <w:tab/>
      </w:r>
      <w:r>
        <w:fldChar w:fldCharType="begin"/>
      </w:r>
      <w:r>
        <w:instrText xml:space="preserve"> PAGEREF _Toc507608762 \h </w:instrText>
      </w:r>
      <w:r>
        <w:fldChar w:fldCharType="separate"/>
      </w:r>
      <w:r>
        <w:t>39</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"_Toc507608763" </w:instrText>
      </w:r>
      <w:r>
        <w:fldChar w:fldCharType="separate"/>
      </w:r>
      <w:r>
        <w:rPr>
          <w:rStyle w:val="69"/>
          <w:rFonts w:hint="eastAsia" w:asciiTheme="minorEastAsia" w:hAnsiTheme="minorEastAsia"/>
          <w:b/>
          <w:kern w:val="1"/>
        </w:rPr>
        <w:t>八、拒绝报价响应的权利</w:t>
      </w:r>
      <w:r>
        <w:tab/>
      </w:r>
      <w:r>
        <w:fldChar w:fldCharType="begin"/>
      </w:r>
      <w:r>
        <w:instrText xml:space="preserve"> PAGEREF _Toc507608763 \h </w:instrText>
      </w:r>
      <w:r>
        <w:fldChar w:fldCharType="separate"/>
      </w:r>
      <w:r>
        <w:t>40</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"_Toc507608764" </w:instrText>
      </w:r>
      <w:r>
        <w:fldChar w:fldCharType="separate"/>
      </w:r>
      <w:r>
        <w:rPr>
          <w:rStyle w:val="69"/>
          <w:rFonts w:hint="eastAsia" w:asciiTheme="minorEastAsia" w:hAnsiTheme="minorEastAsia"/>
          <w:b/>
          <w:kern w:val="1"/>
        </w:rPr>
        <w:t>附表</w:t>
      </w:r>
      <w:r>
        <w:rPr>
          <w:rStyle w:val="69"/>
          <w:rFonts w:asciiTheme="minorEastAsia" w:hAnsiTheme="minorEastAsia"/>
          <w:b/>
          <w:kern w:val="1"/>
        </w:rPr>
        <w:t>1</w:t>
      </w:r>
      <w:r>
        <w:rPr>
          <w:rStyle w:val="69"/>
          <w:rFonts w:hint="eastAsia" w:asciiTheme="minorEastAsia" w:hAnsiTheme="minorEastAsia"/>
          <w:b/>
          <w:kern w:val="1"/>
        </w:rPr>
        <w:t>：初步评审表</w:t>
      </w:r>
      <w:r>
        <w:tab/>
      </w:r>
      <w:r>
        <w:fldChar w:fldCharType="begin"/>
      </w:r>
      <w:r>
        <w:instrText xml:space="preserve"> PAGEREF _Toc507608764 \h </w:instrText>
      </w:r>
      <w:r>
        <w:fldChar w:fldCharType="separate"/>
      </w:r>
      <w:r>
        <w:t>41</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"_Toc507608765" </w:instrText>
      </w:r>
      <w:r>
        <w:fldChar w:fldCharType="separate"/>
      </w:r>
      <w:r>
        <w:rPr>
          <w:rStyle w:val="69"/>
          <w:rFonts w:hint="eastAsia" w:asciiTheme="minorEastAsia" w:hAnsiTheme="minorEastAsia"/>
          <w:b/>
          <w:kern w:val="1"/>
        </w:rPr>
        <w:t>附表</w:t>
      </w:r>
      <w:r>
        <w:rPr>
          <w:rStyle w:val="69"/>
          <w:rFonts w:asciiTheme="minorEastAsia" w:hAnsiTheme="minorEastAsia"/>
          <w:b/>
          <w:kern w:val="1"/>
        </w:rPr>
        <w:t>2</w:t>
      </w:r>
      <w:r>
        <w:rPr>
          <w:rStyle w:val="69"/>
          <w:rFonts w:hint="eastAsia" w:asciiTheme="minorEastAsia" w:hAnsiTheme="minorEastAsia"/>
          <w:b/>
          <w:kern w:val="1"/>
        </w:rPr>
        <w:t>：评分标准表</w:t>
      </w:r>
      <w:r>
        <w:tab/>
      </w:r>
      <w:r>
        <w:fldChar w:fldCharType="begin"/>
      </w:r>
      <w:r>
        <w:instrText xml:space="preserve"> PAGEREF _Toc507608765 \h </w:instrText>
      </w:r>
      <w:r>
        <w:fldChar w:fldCharType="separate"/>
      </w:r>
      <w:r>
        <w:t>42</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"_Toc507608766" </w:instrText>
      </w:r>
      <w:r>
        <w:fldChar w:fldCharType="separate"/>
      </w:r>
      <w:r>
        <w:rPr>
          <w:rStyle w:val="69"/>
          <w:rFonts w:hint="eastAsia" w:asciiTheme="minorEastAsia" w:hAnsiTheme="minorEastAsia"/>
          <w:b/>
          <w:kern w:val="1"/>
        </w:rPr>
        <w:t>附表</w:t>
      </w:r>
      <w:r>
        <w:rPr>
          <w:rStyle w:val="69"/>
          <w:rFonts w:asciiTheme="minorEastAsia" w:hAnsiTheme="minorEastAsia"/>
          <w:b/>
          <w:kern w:val="1"/>
        </w:rPr>
        <w:t>3</w:t>
      </w:r>
      <w:r>
        <w:rPr>
          <w:rStyle w:val="69"/>
          <w:rFonts w:hint="eastAsia" w:asciiTheme="minorEastAsia" w:hAnsiTheme="minorEastAsia"/>
          <w:b/>
          <w:kern w:val="1"/>
        </w:rPr>
        <w:t>：价格评审表</w:t>
      </w:r>
      <w:r>
        <w:tab/>
      </w:r>
      <w:r>
        <w:fldChar w:fldCharType="begin"/>
      </w:r>
      <w:r>
        <w:instrText xml:space="preserve"> PAGEREF _Toc507608766 \h </w:instrText>
      </w:r>
      <w:r>
        <w:fldChar w:fldCharType="separate"/>
      </w:r>
      <w:r>
        <w:t>43</w:t>
      </w:r>
      <w:r>
        <w:fldChar w:fldCharType="end"/>
      </w:r>
      <w:r>
        <w:fldChar w:fldCharType="end"/>
      </w:r>
    </w:p>
    <w:p>
      <w:pPr>
        <w:pStyle w:val="46"/>
        <w:tabs>
          <w:tab w:val="right" w:leader="dot" w:pos="9232"/>
        </w:tabs>
        <w:rPr>
          <w:rFonts w:asciiTheme="minorHAnsi" w:hAnsiTheme="minorHAnsi" w:eastAsiaTheme="minorEastAsia" w:cstheme="minorBidi"/>
          <w:b w:val="0"/>
          <w:bCs w:val="0"/>
          <w:caps w:val="0"/>
          <w:sz w:val="21"/>
          <w:szCs w:val="22"/>
        </w:rPr>
      </w:pPr>
      <w:r>
        <w:fldChar w:fldCharType="begin"/>
      </w:r>
      <w:r>
        <w:instrText xml:space="preserve"> HYPERLINK \l "_Toc507608767" </w:instrText>
      </w:r>
      <w:r>
        <w:fldChar w:fldCharType="separate"/>
      </w:r>
      <w:r>
        <w:rPr>
          <w:rStyle w:val="69"/>
          <w:rFonts w:hint="eastAsia"/>
        </w:rPr>
        <w:t>第六部分</w:t>
      </w:r>
      <w:r>
        <w:rPr>
          <w:rStyle w:val="69"/>
        </w:rPr>
        <w:t xml:space="preserve"> </w:t>
      </w:r>
      <w:r>
        <w:rPr>
          <w:rStyle w:val="69"/>
          <w:rFonts w:hint="eastAsia"/>
        </w:rPr>
        <w:t>响应文件格式</w:t>
      </w:r>
      <w:r>
        <w:tab/>
      </w:r>
      <w:r>
        <w:fldChar w:fldCharType="begin"/>
      </w:r>
      <w:r>
        <w:instrText xml:space="preserve"> PAGEREF _Toc507608767 \h </w:instrText>
      </w:r>
      <w:r>
        <w:fldChar w:fldCharType="separate"/>
      </w:r>
      <w:r>
        <w:t>45</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"_Toc507608768" </w:instrText>
      </w:r>
      <w:r>
        <w:fldChar w:fldCharType="separate"/>
      </w:r>
      <w:r>
        <w:rPr>
          <w:rStyle w:val="69"/>
          <w:rFonts w:hint="eastAsia"/>
          <w:b/>
        </w:rPr>
        <w:t>封面格式内容</w:t>
      </w:r>
      <w:r>
        <w:tab/>
      </w:r>
      <w:r>
        <w:fldChar w:fldCharType="begin"/>
      </w:r>
      <w:r>
        <w:instrText xml:space="preserve"> PAGEREF _Toc507608768 \h </w:instrText>
      </w:r>
      <w:r>
        <w:fldChar w:fldCharType="separate"/>
      </w:r>
      <w:r>
        <w:t>45</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"_Toc507608769" </w:instrText>
      </w:r>
      <w:r>
        <w:fldChar w:fldCharType="separate"/>
      </w:r>
      <w:r>
        <w:rPr>
          <w:rStyle w:val="69"/>
          <w:rFonts w:hint="eastAsia"/>
          <w:b/>
        </w:rPr>
        <w:t>响应文件目录</w:t>
      </w:r>
      <w:r>
        <w:tab/>
      </w:r>
      <w:r>
        <w:fldChar w:fldCharType="begin"/>
      </w:r>
      <w:r>
        <w:instrText xml:space="preserve"> PAGEREF _Toc507608769 \h </w:instrText>
      </w:r>
      <w:r>
        <w:fldChar w:fldCharType="separate"/>
      </w:r>
      <w:r>
        <w:t>46</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"_Toc507608770" </w:instrText>
      </w:r>
      <w:r>
        <w:fldChar w:fldCharType="separate"/>
      </w:r>
      <w:r>
        <w:rPr>
          <w:rStyle w:val="69"/>
          <w:rFonts w:hint="eastAsia"/>
          <w:b/>
        </w:rPr>
        <w:t>第一章</w:t>
      </w:r>
      <w:r>
        <w:rPr>
          <w:rStyle w:val="69"/>
          <w:b/>
        </w:rPr>
        <w:t xml:space="preserve"> </w:t>
      </w:r>
      <w:r>
        <w:rPr>
          <w:rStyle w:val="69"/>
          <w:rFonts w:hint="eastAsia"/>
          <w:b/>
        </w:rPr>
        <w:t>初步审查文件</w:t>
      </w:r>
      <w:r>
        <w:tab/>
      </w:r>
      <w:r>
        <w:fldChar w:fldCharType="begin"/>
      </w:r>
      <w:r>
        <w:instrText xml:space="preserve"> PAGEREF _Toc507608770 \h </w:instrText>
      </w:r>
      <w:r>
        <w:fldChar w:fldCharType="separate"/>
      </w:r>
      <w:r>
        <w:t>47</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"_Toc507608771" </w:instrText>
      </w:r>
      <w:r>
        <w:fldChar w:fldCharType="separate"/>
      </w:r>
      <w:r>
        <w:rPr>
          <w:rStyle w:val="69"/>
          <w:rFonts w:hint="eastAsia" w:ascii="宋体" w:hAnsi="宋体"/>
          <w:b/>
        </w:rPr>
        <w:t>第二章</w:t>
      </w:r>
      <w:r>
        <w:rPr>
          <w:rStyle w:val="69"/>
          <w:rFonts w:ascii="宋体" w:hAnsi="宋体"/>
          <w:b/>
        </w:rPr>
        <w:t xml:space="preserve"> </w:t>
      </w:r>
      <w:r>
        <w:rPr>
          <w:rStyle w:val="69"/>
          <w:rFonts w:hint="eastAsia" w:ascii="宋体" w:hAnsi="宋体"/>
          <w:b/>
        </w:rPr>
        <w:t>商务和技术文件</w:t>
      </w:r>
      <w:r>
        <w:tab/>
      </w:r>
      <w:r>
        <w:fldChar w:fldCharType="begin"/>
      </w:r>
      <w:r>
        <w:instrText xml:space="preserve"> PAGEREF _Toc507608771 \h </w:instrText>
      </w:r>
      <w:r>
        <w:fldChar w:fldCharType="separate"/>
      </w:r>
      <w:r>
        <w:t>55</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"_Toc507608772" </w:instrText>
      </w:r>
      <w:r>
        <w:fldChar w:fldCharType="separate"/>
      </w:r>
      <w:r>
        <w:rPr>
          <w:rStyle w:val="69"/>
          <w:rFonts w:hint="eastAsia" w:ascii="宋体" w:hAnsi="宋体"/>
          <w:b/>
        </w:rPr>
        <w:t>第三章</w:t>
      </w:r>
      <w:r>
        <w:rPr>
          <w:rStyle w:val="69"/>
          <w:rFonts w:ascii="宋体" w:hAnsi="宋体"/>
          <w:b/>
        </w:rPr>
        <w:t xml:space="preserve"> </w:t>
      </w:r>
      <w:r>
        <w:rPr>
          <w:rStyle w:val="69"/>
          <w:rFonts w:hint="eastAsia" w:ascii="宋体" w:hAnsi="宋体"/>
          <w:b/>
        </w:rPr>
        <w:t>报价文件</w:t>
      </w:r>
      <w:r>
        <w:tab/>
      </w:r>
      <w:r>
        <w:fldChar w:fldCharType="begin"/>
      </w:r>
      <w:r>
        <w:instrText xml:space="preserve"> PAGEREF _Toc507608772 \h </w:instrText>
      </w:r>
      <w:r>
        <w:fldChar w:fldCharType="separate"/>
      </w:r>
      <w:r>
        <w:t>63</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"_Toc507608773" </w:instrText>
      </w:r>
      <w:r>
        <w:fldChar w:fldCharType="separate"/>
      </w:r>
      <w:r>
        <w:rPr>
          <w:rStyle w:val="69"/>
          <w:rFonts w:hint="eastAsia" w:ascii="宋体" w:hAnsi="宋体"/>
          <w:b/>
        </w:rPr>
        <w:t>第四章</w:t>
      </w:r>
      <w:r>
        <w:rPr>
          <w:rStyle w:val="69"/>
          <w:rFonts w:ascii="宋体" w:hAnsi="宋体"/>
          <w:b/>
        </w:rPr>
        <w:t xml:space="preserve"> </w:t>
      </w:r>
      <w:r>
        <w:rPr>
          <w:rStyle w:val="69"/>
          <w:rFonts w:hint="eastAsia"/>
          <w:b/>
        </w:rPr>
        <w:t>响应自查情况</w:t>
      </w:r>
      <w:r>
        <w:tab/>
      </w:r>
      <w:r>
        <w:fldChar w:fldCharType="begin"/>
      </w:r>
      <w:r>
        <w:instrText xml:space="preserve"> PAGEREF _Toc507608773 \h </w:instrText>
      </w:r>
      <w:r>
        <w:fldChar w:fldCharType="separate"/>
      </w:r>
      <w:r>
        <w:t>64</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"_Toc507608774" </w:instrText>
      </w:r>
      <w:r>
        <w:fldChar w:fldCharType="separate"/>
      </w:r>
      <w:r>
        <w:rPr>
          <w:rStyle w:val="69"/>
          <w:rFonts w:hint="eastAsia" w:asciiTheme="minorEastAsia" w:hAnsiTheme="minorEastAsia"/>
          <w:b/>
          <w:kern w:val="1"/>
        </w:rPr>
        <w:t>一、初步评审表自查情况</w:t>
      </w:r>
      <w:r>
        <w:tab/>
      </w:r>
      <w:r>
        <w:fldChar w:fldCharType="begin"/>
      </w:r>
      <w:r>
        <w:instrText xml:space="preserve"> PAGEREF _Toc507608774 \h </w:instrText>
      </w:r>
      <w:r>
        <w:fldChar w:fldCharType="separate"/>
      </w:r>
      <w:r>
        <w:t>64</w:t>
      </w:r>
      <w:r>
        <w:fldChar w:fldCharType="end"/>
      </w:r>
      <w:r>
        <w:fldChar w:fldCharType="end"/>
      </w:r>
    </w:p>
    <w:p>
      <w:pPr>
        <w:pStyle w:val="56"/>
        <w:tabs>
          <w:tab w:val="right" w:leader="dot" w:pos="9232"/>
        </w:tabs>
        <w:rPr>
          <w:rFonts w:asciiTheme="minorHAnsi" w:hAnsiTheme="minorHAnsi" w:eastAsiaTheme="minorEastAsia" w:cstheme="minorBidi"/>
          <w:smallCaps w:val="0"/>
          <w:sz w:val="21"/>
          <w:szCs w:val="22"/>
        </w:rPr>
      </w:pPr>
      <w:r>
        <w:fldChar w:fldCharType="begin"/>
      </w:r>
      <w:r>
        <w:instrText xml:space="preserve"> HYPERLINK \l "_Toc507608775" </w:instrText>
      </w:r>
      <w:r>
        <w:fldChar w:fldCharType="separate"/>
      </w:r>
      <w:r>
        <w:rPr>
          <w:rStyle w:val="69"/>
          <w:rFonts w:hint="eastAsia" w:asciiTheme="minorEastAsia" w:hAnsiTheme="minorEastAsia"/>
          <w:b/>
          <w:kern w:val="1"/>
        </w:rPr>
        <w:t>二、评分标准表自查情况</w:t>
      </w:r>
      <w:r>
        <w:tab/>
      </w:r>
      <w:r>
        <w:fldChar w:fldCharType="begin"/>
      </w:r>
      <w:r>
        <w:instrText xml:space="preserve"> PAGEREF _Toc507608775 \h </w:instrText>
      </w:r>
      <w:r>
        <w:fldChar w:fldCharType="separate"/>
      </w:r>
      <w:r>
        <w:t>65</w:t>
      </w:r>
      <w:r>
        <w:fldChar w:fldCharType="end"/>
      </w:r>
      <w:r>
        <w:fldChar w:fldCharType="end"/>
      </w:r>
    </w:p>
    <w:p>
      <w:pPr>
        <w:spacing w:line="360" w:lineRule="auto"/>
        <w:rPr>
          <w:rFonts w:ascii="宋体" w:hAnsi="宋体"/>
          <w:b/>
          <w:bCs/>
          <w:caps/>
          <w:szCs w:val="21"/>
        </w:rPr>
      </w:pPr>
      <w:r>
        <w:rPr>
          <w:rFonts w:ascii="宋体" w:hAnsi="宋体"/>
          <w:b/>
          <w:bCs/>
          <w:caps/>
          <w:szCs w:val="21"/>
        </w:rPr>
        <w:fldChar w:fldCharType="end"/>
      </w:r>
    </w:p>
    <w:p>
      <w:pPr>
        <w:spacing w:line="360" w:lineRule="auto"/>
      </w:pPr>
    </w:p>
    <w:p>
      <w:pPr>
        <w:spacing w:line="360" w:lineRule="auto"/>
        <w:ind w:left="454"/>
        <w:jc w:val="right"/>
        <w:rPr>
          <w:highlight w:val="yellow"/>
        </w:rPr>
      </w:pPr>
      <w:r>
        <w:br w:type="page"/>
      </w:r>
      <w:bookmarkEnd w:id="5"/>
      <w:bookmarkEnd w:id="6"/>
      <w:bookmarkEnd w:id="7"/>
    </w:p>
    <w:p>
      <w:pPr>
        <w:spacing w:line="360" w:lineRule="auto"/>
        <w:ind w:left="454"/>
        <w:jc w:val="right"/>
        <w:rPr>
          <w:highlight w:val="yellow"/>
        </w:rPr>
      </w:pPr>
    </w:p>
    <w:p>
      <w:pPr>
        <w:pStyle w:val="2"/>
        <w:spacing w:line="360" w:lineRule="auto"/>
        <w:rPr>
          <w:rFonts w:asciiTheme="minorEastAsia" w:hAnsiTheme="minorEastAsia" w:eastAsiaTheme="minorEastAsia" w:cstheme="minorEastAsia"/>
          <w:b w:val="0"/>
          <w:bCs w:val="0"/>
          <w:szCs w:val="32"/>
        </w:rPr>
      </w:pPr>
      <w:bookmarkStart w:id="8" w:name="_Toc22408"/>
      <w:bookmarkStart w:id="9" w:name="_Toc26150"/>
      <w:bookmarkStart w:id="10" w:name="_Toc3448"/>
      <w:bookmarkStart w:id="11" w:name="_Toc1801"/>
      <w:bookmarkStart w:id="12" w:name="_Toc23942"/>
      <w:bookmarkStart w:id="13" w:name="_Toc507608741"/>
      <w:bookmarkStart w:id="14" w:name="_Toc21901"/>
      <w:bookmarkStart w:id="15" w:name="_Toc17612"/>
      <w:bookmarkStart w:id="16" w:name="_Toc20116"/>
      <w:bookmarkStart w:id="17" w:name="_Toc30013"/>
      <w:bookmarkStart w:id="18" w:name="_Toc4298"/>
      <w:bookmarkStart w:id="19" w:name="_Toc17714"/>
      <w:bookmarkStart w:id="20" w:name="_Toc16292"/>
      <w:r>
        <w:rPr>
          <w:rFonts w:hint="eastAsia" w:asciiTheme="minorEastAsia" w:hAnsiTheme="minorEastAsia" w:eastAsiaTheme="minorEastAsia" w:cstheme="minorEastAsia"/>
          <w:bCs w:val="0"/>
          <w:szCs w:val="32"/>
        </w:rPr>
        <w:t>第一部分</w:t>
      </w:r>
      <w:bookmarkEnd w:id="8"/>
      <w:bookmarkEnd w:id="9"/>
      <w:bookmarkEnd w:id="10"/>
      <w:bookmarkEnd w:id="11"/>
      <w:bookmarkEnd w:id="12"/>
      <w:bookmarkStart w:id="21" w:name="_Toc18348"/>
      <w:bookmarkStart w:id="22" w:name="_Toc2870"/>
      <w:bookmarkStart w:id="23" w:name="_Toc9000"/>
      <w:bookmarkStart w:id="24" w:name="_Toc28304"/>
      <w:bookmarkStart w:id="25" w:name="_Toc15821"/>
      <w:r>
        <w:rPr>
          <w:rFonts w:hint="eastAsia" w:asciiTheme="minorEastAsia" w:hAnsiTheme="minorEastAsia" w:eastAsiaTheme="minorEastAsia" w:cstheme="minorEastAsia"/>
          <w:bCs w:val="0"/>
          <w:szCs w:val="32"/>
        </w:rPr>
        <w:t xml:space="preserve"> 采购公告</w:t>
      </w:r>
      <w:bookmarkEnd w:id="13"/>
      <w:bookmarkEnd w:id="21"/>
      <w:bookmarkEnd w:id="22"/>
      <w:bookmarkEnd w:id="23"/>
      <w:bookmarkEnd w:id="24"/>
      <w:bookmarkEnd w:id="25"/>
    </w:p>
    <w:p>
      <w:pPr>
        <w:spacing w:before="120"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详见网页公告，以广发银行官网内容为准。</w:t>
      </w:r>
    </w:p>
    <w:p>
      <w:pPr>
        <w:widowControl/>
        <w:jc w:val="left"/>
        <w:rPr>
          <w:rFonts w:asciiTheme="minorEastAsia" w:hAnsiTheme="minorEastAsia" w:eastAsiaTheme="minorEastAsia" w:cstheme="minorEastAsia"/>
          <w:szCs w:val="21"/>
          <w:highlight w:val="yellow"/>
        </w:rPr>
      </w:pPr>
      <w:r>
        <w:rPr>
          <w:rFonts w:asciiTheme="minorEastAsia" w:hAnsiTheme="minorEastAsia" w:eastAsiaTheme="minorEastAsia" w:cstheme="minorEastAsia"/>
          <w:szCs w:val="21"/>
          <w:highlight w:val="yellow"/>
        </w:rPr>
        <w:br w:type="page"/>
      </w:r>
    </w:p>
    <w:bookmarkEnd w:id="14"/>
    <w:bookmarkEnd w:id="15"/>
    <w:bookmarkEnd w:id="16"/>
    <w:bookmarkEnd w:id="17"/>
    <w:bookmarkEnd w:id="18"/>
    <w:bookmarkEnd w:id="19"/>
    <w:bookmarkEnd w:id="20"/>
    <w:p>
      <w:pPr>
        <w:pStyle w:val="2"/>
        <w:spacing w:line="360" w:lineRule="auto"/>
      </w:pPr>
      <w:bookmarkStart w:id="26" w:name="_Toc420071767"/>
      <w:bookmarkStart w:id="27" w:name="_Toc363145644"/>
      <w:bookmarkStart w:id="28" w:name="_Toc456340604"/>
      <w:bookmarkStart w:id="29" w:name="_Toc363145527"/>
      <w:bookmarkStart w:id="30" w:name="_Toc363145065"/>
      <w:bookmarkStart w:id="31" w:name="_Toc296006400"/>
      <w:bookmarkStart w:id="32" w:name="_Toc507608742"/>
      <w:bookmarkStart w:id="33" w:name="目录一"/>
      <w:bookmarkStart w:id="34" w:name="OLE_LINK4"/>
      <w:r>
        <w:rPr>
          <w:rFonts w:hint="eastAsia"/>
        </w:rPr>
        <w:t>第二部分</w:t>
      </w:r>
      <w:bookmarkEnd w:id="26"/>
      <w:bookmarkEnd w:id="27"/>
      <w:bookmarkEnd w:id="28"/>
      <w:bookmarkEnd w:id="29"/>
      <w:bookmarkEnd w:id="30"/>
      <w:bookmarkStart w:id="35" w:name="_Toc456340605"/>
      <w:bookmarkStart w:id="36" w:name="_Toc363145066"/>
      <w:bookmarkStart w:id="37" w:name="_Toc363145645"/>
      <w:bookmarkStart w:id="38" w:name="_Toc363145528"/>
      <w:bookmarkStart w:id="39" w:name="_Toc400974356"/>
      <w:bookmarkStart w:id="40" w:name="_Toc420071768"/>
      <w:r>
        <w:rPr>
          <w:rFonts w:hint="eastAsia"/>
        </w:rPr>
        <w:t xml:space="preserve"> 供应商须知</w:t>
      </w:r>
      <w:bookmarkEnd w:id="31"/>
      <w:bookmarkEnd w:id="32"/>
      <w:bookmarkEnd w:id="35"/>
      <w:bookmarkEnd w:id="36"/>
      <w:bookmarkEnd w:id="37"/>
      <w:bookmarkEnd w:id="38"/>
      <w:bookmarkEnd w:id="39"/>
      <w:bookmarkEnd w:id="40"/>
    </w:p>
    <w:p>
      <w:pPr>
        <w:spacing w:line="300" w:lineRule="auto"/>
        <w:jc w:val="center"/>
        <w:rPr>
          <w:rFonts w:ascii="宋体" w:hAnsi="宋体"/>
          <w:b/>
          <w:bCs/>
          <w:kern w:val="44"/>
          <w:sz w:val="32"/>
          <w:szCs w:val="20"/>
        </w:rPr>
      </w:pPr>
      <w:r>
        <w:rPr>
          <w:rFonts w:hint="eastAsia" w:ascii="宋体" w:hAnsi="宋体"/>
          <w:b/>
          <w:bCs/>
          <w:kern w:val="44"/>
          <w:sz w:val="32"/>
          <w:szCs w:val="20"/>
        </w:rPr>
        <w:t>供应商须知前附表</w:t>
      </w:r>
    </w:p>
    <w:tbl>
      <w:tblPr>
        <w:tblStyle w:val="74"/>
        <w:tblW w:w="9020" w:type="dxa"/>
        <w:jc w:val="center"/>
        <w:tblInd w:w="0" w:type="dxa"/>
        <w:tblLayout w:type="fixed"/>
        <w:tblCellMar>
          <w:top w:w="0" w:type="dxa"/>
          <w:left w:w="108" w:type="dxa"/>
          <w:bottom w:w="0" w:type="dxa"/>
          <w:right w:w="108" w:type="dxa"/>
        </w:tblCellMar>
      </w:tblPr>
      <w:tblGrid>
        <w:gridCol w:w="860"/>
        <w:gridCol w:w="2400"/>
        <w:gridCol w:w="5760"/>
      </w:tblGrid>
      <w:tr>
        <w:tblPrEx>
          <w:tblLayout w:type="fixed"/>
        </w:tblPrEx>
        <w:trPr>
          <w:trHeight w:val="540"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条款号</w:t>
            </w:r>
          </w:p>
        </w:tc>
        <w:tc>
          <w:tcPr>
            <w:tcW w:w="2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条款名称</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编列内容</w:t>
            </w:r>
          </w:p>
        </w:tc>
      </w:tr>
      <w:tr>
        <w:tblPrEx>
          <w:tblLayout w:type="fixed"/>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2.1</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采购人</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名称：广发银行股份有限公司</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地址：广州市越秀区东风东路713号</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联系人：郑先生</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邮箱：</w:t>
            </w:r>
            <w:r>
              <w:fldChar w:fldCharType="begin"/>
            </w:r>
            <w:r>
              <w:instrText xml:space="preserve"> HYPERLINK "mailto:zhengyingqiao@cgbchina.com.cn" </w:instrText>
            </w:r>
            <w:r>
              <w:fldChar w:fldCharType="separate"/>
            </w:r>
            <w:r>
              <w:rPr>
                <w:rStyle w:val="69"/>
                <w:rFonts w:hint="eastAsia" w:ascii="宋体" w:hAnsi="宋体" w:cs="宋体"/>
                <w:kern w:val="0"/>
                <w:szCs w:val="21"/>
              </w:rPr>
              <w:t>zhengyingqiao@cgbchina.com.cn</w:t>
            </w:r>
            <w:r>
              <w:rPr>
                <w:rStyle w:val="69"/>
                <w:rFonts w:ascii="宋体" w:hAnsi="宋体" w:cs="宋体"/>
                <w:kern w:val="0"/>
                <w:szCs w:val="21"/>
              </w:rPr>
              <w:fldChar w:fldCharType="end"/>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电话：020-38323463</w:t>
            </w:r>
          </w:p>
        </w:tc>
      </w:tr>
      <w:tr>
        <w:tblPrEx>
          <w:tblLayout w:type="fixed"/>
        </w:tblPrEx>
        <w:trPr>
          <w:trHeight w:val="102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2.3</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资格审查方式</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资格后审</w:t>
            </w:r>
          </w:p>
        </w:tc>
      </w:tr>
      <w:tr>
        <w:tblPrEx>
          <w:tblLayout w:type="fixed"/>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6.1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供应商提出问题要求澄清的截止时间</w:t>
            </w: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Cs w:val="21"/>
              </w:rPr>
            </w:pPr>
            <w:r>
              <w:rPr>
                <w:rFonts w:hint="eastAsia" w:ascii="宋体" w:hAnsi="宋体"/>
                <w:color w:val="000000"/>
                <w:kern w:val="0"/>
                <w:szCs w:val="21"/>
              </w:rPr>
              <w:t>在递交响应文件截止时间前5日</w:t>
            </w:r>
          </w:p>
        </w:tc>
      </w:tr>
      <w:tr>
        <w:tblPrEx>
          <w:tblLayout w:type="fixed"/>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6.3</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踏勘现场</w:t>
            </w: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 w:val="32"/>
                <w:szCs w:val="32"/>
              </w:rPr>
            </w:pPr>
            <w:r>
              <w:rPr>
                <w:rFonts w:hint="eastAsia" w:ascii="宋体" w:hAnsi="宋体"/>
                <w:color w:val="000000"/>
                <w:kern w:val="0"/>
                <w:sz w:val="32"/>
                <w:szCs w:val="32"/>
              </w:rPr>
              <w:t>√</w:t>
            </w:r>
            <w:r>
              <w:rPr>
                <w:rFonts w:hint="eastAsia" w:ascii="宋体" w:hAnsi="宋体"/>
                <w:color w:val="000000"/>
                <w:kern w:val="0"/>
                <w:szCs w:val="21"/>
              </w:rPr>
              <w:t>不组织</w:t>
            </w:r>
          </w:p>
        </w:tc>
      </w:tr>
      <w:tr>
        <w:tblPrEx>
          <w:tblLayout w:type="fixed"/>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 w:val="32"/>
                <w:szCs w:val="32"/>
              </w:rPr>
            </w:pPr>
            <w:r>
              <w:rPr>
                <w:color w:val="000000"/>
                <w:kern w:val="0"/>
                <w:sz w:val="32"/>
                <w:szCs w:val="32"/>
              </w:rPr>
              <w:t>□</w:t>
            </w:r>
            <w:r>
              <w:rPr>
                <w:rFonts w:hint="eastAsia" w:ascii="宋体" w:hAnsi="宋体"/>
                <w:color w:val="000000"/>
                <w:kern w:val="0"/>
                <w:szCs w:val="21"/>
              </w:rPr>
              <w:t>组织，踏勘时间：踏勘集中地点：</w:t>
            </w:r>
          </w:p>
        </w:tc>
      </w:tr>
      <w:tr>
        <w:tblPrEx>
          <w:tblLayout w:type="fixed"/>
        </w:tblPrEx>
        <w:trPr>
          <w:trHeight w:val="405" w:hRule="atLeast"/>
          <w:jc w:val="center"/>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6.3</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答疑会</w:t>
            </w: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 w:val="32"/>
                <w:szCs w:val="32"/>
              </w:rPr>
            </w:pPr>
            <w:r>
              <w:rPr>
                <w:rFonts w:hint="eastAsia" w:ascii="宋体" w:hAnsi="宋体"/>
                <w:color w:val="000000"/>
                <w:kern w:val="0"/>
                <w:sz w:val="32"/>
                <w:szCs w:val="32"/>
              </w:rPr>
              <w:t>√</w:t>
            </w:r>
            <w:r>
              <w:rPr>
                <w:rFonts w:hint="eastAsia" w:ascii="宋体" w:hAnsi="宋体"/>
                <w:color w:val="000000"/>
                <w:kern w:val="0"/>
                <w:szCs w:val="21"/>
              </w:rPr>
              <w:t>不召开</w:t>
            </w:r>
          </w:p>
        </w:tc>
      </w:tr>
      <w:tr>
        <w:tblPrEx>
          <w:tblLayout w:type="fixed"/>
        </w:tblPrEx>
        <w:trPr>
          <w:trHeight w:val="405"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 w:val="32"/>
                <w:szCs w:val="32"/>
              </w:rPr>
            </w:pPr>
            <w:r>
              <w:rPr>
                <w:color w:val="000000"/>
                <w:kern w:val="0"/>
                <w:sz w:val="32"/>
                <w:szCs w:val="32"/>
              </w:rPr>
              <w:t>□</w:t>
            </w:r>
            <w:r>
              <w:rPr>
                <w:rFonts w:hint="eastAsia" w:ascii="宋体" w:hAnsi="宋体"/>
                <w:color w:val="000000"/>
                <w:kern w:val="0"/>
                <w:szCs w:val="21"/>
              </w:rPr>
              <w:t>召开，召开时间：</w:t>
            </w:r>
            <w:r>
              <w:rPr>
                <w:rFonts w:hint="eastAsia" w:ascii="宋体" w:hAnsi="宋体" w:cs="宋体"/>
                <w:color w:val="000000"/>
                <w:kern w:val="0"/>
                <w:sz w:val="24"/>
              </w:rPr>
              <w:t>召开地点：</w:t>
            </w:r>
          </w:p>
        </w:tc>
      </w:tr>
      <w:tr>
        <w:tblPrEx>
          <w:tblLayout w:type="fixed"/>
        </w:tblPrEx>
        <w:trPr>
          <w:trHeight w:val="43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9.3</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供应商资格条件</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详见本项目采购公告</w:t>
            </w:r>
          </w:p>
        </w:tc>
      </w:tr>
      <w:tr>
        <w:tblPrEx>
          <w:tblLayout w:type="fixed"/>
        </w:tblPrEx>
        <w:trPr>
          <w:trHeight w:val="270" w:hRule="atLeast"/>
          <w:jc w:val="center"/>
        </w:trPr>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9.3.</w:t>
            </w:r>
            <w:r>
              <w:rPr>
                <w:rFonts w:hint="eastAsia" w:ascii="宋体" w:hAnsi="宋体"/>
                <w:color w:val="000000"/>
                <w:kern w:val="0"/>
                <w:szCs w:val="21"/>
              </w:rPr>
              <w:t>1</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分包要求</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√本次采购目不允许分包</w:t>
            </w:r>
          </w:p>
        </w:tc>
      </w:tr>
      <w:tr>
        <w:tblPrEx>
          <w:tblLayout w:type="fixed"/>
        </w:tblPrEx>
        <w:trPr>
          <w:trHeight w:val="1530" w:hRule="atLeast"/>
          <w:jc w:val="center"/>
        </w:trPr>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□本次采购经采购方书面许可，用户需求书允许分包的部分可分包，供应商须将分包人的下列资料提交：</w:t>
            </w:r>
            <w:r>
              <w:rPr>
                <w:rFonts w:hint="eastAsia" w:ascii="宋体" w:hAnsi="宋体" w:cs="宋体"/>
                <w:color w:val="000000"/>
                <w:kern w:val="0"/>
                <w:szCs w:val="21"/>
              </w:rPr>
              <w:br w:type="textWrapping"/>
            </w:r>
            <w:r>
              <w:rPr>
                <w:rFonts w:hint="eastAsia" w:ascii="宋体" w:hAnsi="宋体" w:cs="宋体"/>
                <w:color w:val="000000"/>
                <w:kern w:val="0"/>
                <w:szCs w:val="21"/>
              </w:rPr>
              <w:t>①分包人的营业执照副本复印件；</w:t>
            </w:r>
            <w:r>
              <w:rPr>
                <w:rFonts w:hint="eastAsia" w:ascii="宋体" w:hAnsi="宋体" w:cs="宋体"/>
                <w:color w:val="000000"/>
                <w:kern w:val="0"/>
                <w:szCs w:val="21"/>
              </w:rPr>
              <w:br w:type="textWrapping"/>
            </w:r>
            <w:r>
              <w:rPr>
                <w:rFonts w:hint="eastAsia" w:ascii="宋体" w:hAnsi="宋体" w:cs="宋体"/>
                <w:color w:val="000000"/>
                <w:kern w:val="0"/>
                <w:szCs w:val="21"/>
              </w:rPr>
              <w:t>②分包人持有的相关证书；</w:t>
            </w:r>
            <w:r>
              <w:rPr>
                <w:rFonts w:hint="eastAsia" w:ascii="宋体" w:hAnsi="宋体" w:cs="宋体"/>
                <w:color w:val="000000"/>
                <w:kern w:val="0"/>
                <w:szCs w:val="21"/>
              </w:rPr>
              <w:br w:type="textWrapping"/>
            </w:r>
            <w:r>
              <w:rPr>
                <w:rFonts w:hint="eastAsia" w:ascii="宋体" w:hAnsi="宋体" w:cs="宋体"/>
                <w:color w:val="000000"/>
                <w:kern w:val="0"/>
                <w:szCs w:val="21"/>
              </w:rPr>
              <w:t>③其它资质等级证书。</w:t>
            </w:r>
          </w:p>
        </w:tc>
      </w:tr>
      <w:tr>
        <w:tblPrEx>
          <w:tblLayout w:type="fixed"/>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13.1</w:t>
            </w:r>
          </w:p>
        </w:tc>
        <w:tc>
          <w:tcPr>
            <w:tcW w:w="2400" w:type="dxa"/>
            <w:tcBorders>
              <w:top w:val="nil"/>
              <w:left w:val="nil"/>
              <w:bottom w:val="nil"/>
              <w:right w:val="nil"/>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磋商保证金金额</w:t>
            </w:r>
          </w:p>
        </w:tc>
        <w:tc>
          <w:tcPr>
            <w:tcW w:w="57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详见采购公告列示的金额</w:t>
            </w:r>
          </w:p>
        </w:tc>
      </w:tr>
      <w:tr>
        <w:tblPrEx>
          <w:tblLayout w:type="fixed"/>
        </w:tblPrEx>
        <w:trPr>
          <w:trHeight w:val="418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13.1</w:t>
            </w:r>
          </w:p>
        </w:tc>
        <w:tc>
          <w:tcPr>
            <w:tcW w:w="2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磋商保证金提交方式</w:t>
            </w: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Cs w:val="21"/>
              </w:rPr>
            </w:pPr>
            <w:r>
              <w:rPr>
                <w:color w:val="000000"/>
                <w:kern w:val="0"/>
                <w:szCs w:val="21"/>
              </w:rPr>
              <w:t xml:space="preserve">1. </w:t>
            </w:r>
            <w:r>
              <w:rPr>
                <w:rFonts w:hint="eastAsia" w:ascii="宋体" w:hAnsi="宋体"/>
                <w:color w:val="000000"/>
                <w:kern w:val="0"/>
                <w:szCs w:val="21"/>
              </w:rPr>
              <w:t>采用非现金转账方式提交，转入账户如下：</w:t>
            </w:r>
            <w:r>
              <w:rPr>
                <w:rFonts w:hint="eastAsia" w:ascii="宋体" w:hAnsi="宋体"/>
                <w:color w:val="000000"/>
                <w:kern w:val="0"/>
                <w:szCs w:val="21"/>
              </w:rPr>
              <w:br w:type="textWrapping"/>
            </w:r>
            <w:r>
              <w:rPr>
                <w:rFonts w:hint="eastAsia" w:ascii="宋体" w:hAnsi="宋体"/>
                <w:color w:val="000000"/>
                <w:kern w:val="0"/>
                <w:szCs w:val="21"/>
              </w:rPr>
              <w:t>开户名称：广发银行股份有限公司</w:t>
            </w:r>
            <w:r>
              <w:rPr>
                <w:rFonts w:hint="eastAsia" w:ascii="宋体" w:hAnsi="宋体"/>
                <w:color w:val="000000"/>
                <w:kern w:val="0"/>
                <w:szCs w:val="21"/>
              </w:rPr>
              <w:br w:type="textWrapping"/>
            </w:r>
            <w:r>
              <w:rPr>
                <w:rFonts w:hint="eastAsia" w:ascii="宋体" w:hAnsi="宋体"/>
                <w:color w:val="000000"/>
                <w:kern w:val="0"/>
                <w:szCs w:val="21"/>
              </w:rPr>
              <w:t>开户银行：广发银行广州广发大厦支行</w:t>
            </w:r>
            <w:r>
              <w:rPr>
                <w:color w:val="000000"/>
                <w:kern w:val="0"/>
                <w:szCs w:val="21"/>
              </w:rPr>
              <w:br w:type="textWrapping"/>
            </w:r>
            <w:r>
              <w:rPr>
                <w:rFonts w:hint="eastAsia" w:ascii="宋体" w:hAnsi="宋体"/>
                <w:color w:val="000000"/>
                <w:kern w:val="0"/>
                <w:szCs w:val="21"/>
              </w:rPr>
              <w:t>帐号：</w:t>
            </w:r>
            <w:r>
              <w:rPr>
                <w:color w:val="000000"/>
                <w:kern w:val="0"/>
                <w:szCs w:val="21"/>
              </w:rPr>
              <w:t>101001516010009948</w:t>
            </w:r>
            <w:r>
              <w:rPr>
                <w:rFonts w:hint="eastAsia" w:ascii="宋体" w:hAnsi="宋体"/>
                <w:color w:val="000000"/>
                <w:kern w:val="0"/>
                <w:szCs w:val="21"/>
              </w:rPr>
              <w:br w:type="textWrapping"/>
            </w:r>
            <w:r>
              <w:rPr>
                <w:rFonts w:hint="eastAsia" w:ascii="宋体" w:hAnsi="宋体"/>
                <w:color w:val="000000"/>
                <w:kern w:val="0"/>
                <w:szCs w:val="21"/>
              </w:rPr>
              <w:t>汇款时需注明汇款用途为</w:t>
            </w:r>
            <w:r>
              <w:rPr>
                <w:color w:val="000000"/>
                <w:kern w:val="0"/>
                <w:szCs w:val="21"/>
              </w:rPr>
              <w:t>“CGB-XX-20XX-XXX</w:t>
            </w:r>
            <w:r>
              <w:rPr>
                <w:rFonts w:hint="eastAsia" w:ascii="宋体" w:hAnsi="宋体"/>
                <w:color w:val="000000"/>
                <w:kern w:val="0"/>
                <w:szCs w:val="21"/>
              </w:rPr>
              <w:t>（项目编号）的磋商保证金</w:t>
            </w:r>
            <w:r>
              <w:rPr>
                <w:color w:val="000000"/>
                <w:kern w:val="0"/>
                <w:szCs w:val="21"/>
              </w:rPr>
              <w:t>”</w:t>
            </w:r>
            <w:r>
              <w:rPr>
                <w:rFonts w:hint="eastAsia" w:ascii="宋体" w:hAnsi="宋体"/>
                <w:color w:val="000000"/>
                <w:kern w:val="0"/>
                <w:szCs w:val="21"/>
              </w:rPr>
              <w:t>，</w:t>
            </w:r>
            <w:r>
              <w:rPr>
                <w:rFonts w:hint="eastAsia"/>
                <w:kern w:val="0"/>
                <w:szCs w:val="21"/>
              </w:rPr>
              <w:t>汇款后供应商需将付款汇款单扫描，</w:t>
            </w:r>
            <w:r>
              <w:rPr>
                <w:rFonts w:hint="eastAsia"/>
                <w:b/>
                <w:bCs/>
                <w:kern w:val="0"/>
                <w:szCs w:val="21"/>
              </w:rPr>
              <w:t>登录供应商服务平台（https://gfcg.cgbchina.com.cn/）上传保证金凭证并填报相关信息，以便采购人核实保证金是否实际到账。银行开具的汇款单盖章原件由谈判供应商留存，作为保证金收取依据，收款人不另开收据。</w:t>
            </w:r>
            <w:r>
              <w:rPr>
                <w:rFonts w:hint="eastAsia" w:ascii="宋体" w:hAnsi="宋体"/>
                <w:color w:val="000000"/>
                <w:kern w:val="0"/>
                <w:szCs w:val="21"/>
              </w:rPr>
              <w:br w:type="textWrapping"/>
            </w:r>
            <w:r>
              <w:rPr>
                <w:rFonts w:hint="eastAsia" w:ascii="宋体" w:hAnsi="宋体"/>
                <w:color w:val="000000"/>
                <w:kern w:val="0"/>
                <w:szCs w:val="21"/>
              </w:rPr>
              <w:br w:type="textWrapping"/>
            </w:r>
            <w:r>
              <w:rPr>
                <w:color w:val="000000"/>
                <w:kern w:val="0"/>
                <w:szCs w:val="21"/>
              </w:rPr>
              <w:t>2.</w:t>
            </w:r>
            <w:r>
              <w:rPr>
                <w:rFonts w:hint="eastAsia" w:ascii="宋体" w:hAnsi="宋体"/>
                <w:color w:val="000000"/>
                <w:kern w:val="0"/>
                <w:szCs w:val="21"/>
              </w:rPr>
              <w:t>磋商保证金应在首次响应文件递交截止时间前到达采购人账户上（为避免因保证金未达账而导致响应文件被拒绝，建议至少提前</w:t>
            </w:r>
            <w:r>
              <w:rPr>
                <w:color w:val="000000"/>
                <w:kern w:val="0"/>
                <w:szCs w:val="21"/>
              </w:rPr>
              <w:t>2</w:t>
            </w:r>
            <w:r>
              <w:rPr>
                <w:rFonts w:hint="eastAsia" w:ascii="宋体" w:hAnsi="宋体"/>
                <w:color w:val="000000"/>
                <w:kern w:val="0"/>
                <w:szCs w:val="21"/>
              </w:rPr>
              <w:t>个工作日转账）。</w:t>
            </w:r>
          </w:p>
        </w:tc>
      </w:tr>
      <w:tr>
        <w:tblPrEx>
          <w:tblLayout w:type="fixed"/>
        </w:tblPrEx>
        <w:trPr>
          <w:trHeight w:val="187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14.1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响应文件的份数</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Cs w:val="21"/>
              </w:rPr>
            </w:pPr>
            <w:r>
              <w:rPr>
                <w:rFonts w:hint="eastAsia" w:ascii="宋体" w:hAnsi="宋体"/>
                <w:color w:val="000000"/>
                <w:kern w:val="0"/>
                <w:szCs w:val="21"/>
              </w:rPr>
              <w:t>正本壹份，副本</w:t>
            </w:r>
            <w:r>
              <w:rPr>
                <w:rFonts w:hint="eastAsia" w:ascii="宋体" w:hAnsi="宋体"/>
                <w:color w:val="000000"/>
                <w:kern w:val="0"/>
                <w:szCs w:val="21"/>
                <w:u w:val="single"/>
              </w:rPr>
              <w:t>0</w:t>
            </w:r>
            <w:r>
              <w:rPr>
                <w:rFonts w:hint="eastAsia" w:ascii="宋体" w:hAnsi="宋体"/>
                <w:color w:val="000000"/>
                <w:kern w:val="0"/>
                <w:szCs w:val="21"/>
              </w:rPr>
              <w:t>份，及壹份电子文件。</w:t>
            </w:r>
          </w:p>
          <w:p>
            <w:pPr>
              <w:widowControl/>
              <w:rPr>
                <w:rFonts w:ascii="宋体" w:hAnsi="宋体"/>
                <w:color w:val="000000"/>
                <w:kern w:val="0"/>
                <w:szCs w:val="21"/>
              </w:rPr>
            </w:pPr>
            <w:r>
              <w:rPr>
                <w:rFonts w:hint="eastAsia" w:ascii="宋体" w:hAnsi="宋体"/>
                <w:color w:val="000000"/>
                <w:kern w:val="0"/>
                <w:szCs w:val="21"/>
              </w:rPr>
              <w:t>注：</w:t>
            </w:r>
          </w:p>
          <w:p>
            <w:pPr>
              <w:widowControl/>
              <w:numPr>
                <w:ilvl w:val="0"/>
                <w:numId w:val="6"/>
              </w:numPr>
              <w:rPr>
                <w:rFonts w:ascii="宋体" w:hAnsi="宋体"/>
                <w:b/>
                <w:bCs/>
                <w:kern w:val="0"/>
                <w:szCs w:val="21"/>
              </w:rPr>
            </w:pPr>
            <w:r>
              <w:rPr>
                <w:rFonts w:hint="eastAsia" w:ascii="宋体" w:hAnsi="宋体"/>
                <w:b/>
                <w:bCs/>
                <w:kern w:val="0"/>
                <w:szCs w:val="21"/>
              </w:rPr>
              <w:t>电子版文件按以下两种方式提供：</w:t>
            </w:r>
          </w:p>
          <w:p>
            <w:pPr>
              <w:widowControl/>
              <w:rPr>
                <w:rFonts w:ascii="宋体" w:hAnsi="宋体"/>
                <w:b/>
                <w:bCs/>
                <w:kern w:val="0"/>
                <w:szCs w:val="21"/>
              </w:rPr>
            </w:pPr>
            <w:r>
              <w:rPr>
                <w:rFonts w:hint="eastAsia" w:ascii="宋体" w:hAnsi="宋体" w:cs="宋体"/>
                <w:b/>
                <w:bCs/>
                <w:kern w:val="0"/>
                <w:szCs w:val="21"/>
              </w:rPr>
              <w:t>①</w:t>
            </w:r>
            <w:r>
              <w:rPr>
                <w:rFonts w:hint="eastAsia" w:ascii="宋体" w:hAnsi="宋体"/>
                <w:b/>
                <w:bCs/>
                <w:kern w:val="0"/>
                <w:szCs w:val="21"/>
              </w:rPr>
              <w:t>要求以</w:t>
            </w:r>
            <w:r>
              <w:rPr>
                <w:rFonts w:hint="eastAsia"/>
                <w:b/>
                <w:bCs/>
                <w:kern w:val="0"/>
                <w:szCs w:val="21"/>
              </w:rPr>
              <w:t xml:space="preserve">U </w:t>
            </w:r>
            <w:r>
              <w:rPr>
                <w:rFonts w:hint="eastAsia" w:ascii="宋体" w:hAnsi="宋体"/>
                <w:b/>
                <w:bCs/>
                <w:kern w:val="0"/>
                <w:szCs w:val="21"/>
              </w:rPr>
              <w:t>盘介质提供，不留密码，无病毒，不压缩，其中响应文件全文（含报价）应具备Word可编辑版与PDF扫描盖章版；报价部分应须保留EXCEL格式或WORD 格式可编辑文档格式文件；</w:t>
            </w:r>
          </w:p>
          <w:p>
            <w:pPr>
              <w:widowControl/>
              <w:rPr>
                <w:rFonts w:ascii="宋体" w:hAnsi="宋体"/>
                <w:b/>
                <w:bCs/>
                <w:kern w:val="0"/>
                <w:szCs w:val="21"/>
              </w:rPr>
            </w:pPr>
            <w:r>
              <w:rPr>
                <w:rFonts w:hint="eastAsia" w:ascii="宋体" w:hAnsi="宋体" w:cs="宋体"/>
                <w:b/>
                <w:bCs/>
                <w:kern w:val="0"/>
                <w:szCs w:val="21"/>
              </w:rPr>
              <w:t>②要求加密后在供应商服务平台上传(供应商服务平台</w:t>
            </w:r>
            <w:r>
              <w:rPr>
                <w:rFonts w:ascii="宋体" w:hAnsi="宋体" w:cs="宋体"/>
                <w:b/>
                <w:bCs/>
                <w:kern w:val="0"/>
                <w:szCs w:val="21"/>
              </w:rPr>
              <w:t>（https://</w:t>
            </w:r>
            <w:r>
              <w:rPr>
                <w:rFonts w:hint="eastAsia" w:ascii="宋体" w:hAnsi="宋体" w:cs="宋体"/>
                <w:b/>
                <w:bCs/>
                <w:kern w:val="0"/>
                <w:szCs w:val="21"/>
              </w:rPr>
              <w:t>gfcg</w:t>
            </w:r>
            <w:r>
              <w:rPr>
                <w:rFonts w:ascii="宋体" w:hAnsi="宋体" w:cs="宋体"/>
                <w:b/>
                <w:bCs/>
                <w:kern w:val="0"/>
                <w:szCs w:val="21"/>
              </w:rPr>
              <w:t>.</w:t>
            </w:r>
            <w:r>
              <w:rPr>
                <w:rFonts w:hint="eastAsia" w:ascii="宋体" w:hAnsi="宋体" w:cs="宋体"/>
                <w:b/>
                <w:bCs/>
                <w:kern w:val="0"/>
                <w:szCs w:val="21"/>
              </w:rPr>
              <w:t>cgbchina.</w:t>
            </w:r>
            <w:r>
              <w:rPr>
                <w:rFonts w:ascii="宋体" w:hAnsi="宋体" w:cs="宋体"/>
                <w:b/>
                <w:bCs/>
                <w:kern w:val="0"/>
                <w:szCs w:val="21"/>
              </w:rPr>
              <w:t>com</w:t>
            </w:r>
            <w:r>
              <w:rPr>
                <w:rFonts w:hint="eastAsia" w:ascii="宋体" w:hAnsi="宋体" w:cs="宋体"/>
                <w:b/>
                <w:bCs/>
                <w:kern w:val="0"/>
                <w:szCs w:val="21"/>
              </w:rPr>
              <w:t>.cn</w:t>
            </w:r>
            <w:r>
              <w:rPr>
                <w:rFonts w:ascii="宋体" w:hAnsi="宋体" w:cs="宋体"/>
                <w:b/>
                <w:bCs/>
                <w:kern w:val="0"/>
                <w:szCs w:val="21"/>
              </w:rPr>
              <w:t>/）</w:t>
            </w:r>
            <w:r>
              <w:rPr>
                <w:rFonts w:hint="eastAsia" w:ascii="宋体" w:hAnsi="宋体" w:cs="宋体"/>
                <w:b/>
                <w:bCs/>
                <w:kern w:val="0"/>
                <w:szCs w:val="21"/>
              </w:rPr>
              <w:t>)，加密的密码自行保管并放入纸质响应文件中密封提交。</w:t>
            </w:r>
          </w:p>
          <w:p>
            <w:pPr>
              <w:widowControl/>
              <w:rPr>
                <w:rFonts w:ascii="宋体" w:hAnsi="宋体"/>
                <w:color w:val="000000"/>
                <w:kern w:val="0"/>
                <w:szCs w:val="21"/>
              </w:rPr>
            </w:pPr>
            <w:r>
              <w:rPr>
                <w:rFonts w:hint="eastAsia" w:ascii="宋体" w:hAnsi="宋体" w:cs="宋体"/>
                <w:b/>
                <w:bCs/>
                <w:kern w:val="0"/>
                <w:szCs w:val="21"/>
              </w:rPr>
              <w:t>③</w:t>
            </w:r>
            <w:r>
              <w:rPr>
                <w:rFonts w:hint="eastAsia" w:ascii="宋体" w:hAnsi="宋体"/>
                <w:b/>
                <w:bCs/>
                <w:kern w:val="0"/>
                <w:szCs w:val="21"/>
              </w:rPr>
              <w:t>如中选，报价的内容将用于结果公告公布，同时供应商须登录供应商服务平台录入最终报价明细。</w:t>
            </w:r>
          </w:p>
          <w:p>
            <w:pPr>
              <w:widowControl/>
              <w:rPr>
                <w:color w:val="000000"/>
                <w:kern w:val="0"/>
                <w:szCs w:val="21"/>
              </w:rPr>
            </w:pPr>
            <w:r>
              <w:rPr>
                <w:rFonts w:hint="eastAsia" w:ascii="宋体" w:hAnsi="宋体"/>
                <w:color w:val="000000"/>
                <w:kern w:val="0"/>
                <w:szCs w:val="21"/>
              </w:rPr>
              <w:t>2.如有现场</w:t>
            </w:r>
            <w:r>
              <w:rPr>
                <w:color w:val="000000"/>
                <w:kern w:val="0"/>
                <w:szCs w:val="21"/>
              </w:rPr>
              <w:t xml:space="preserve">PPT </w:t>
            </w:r>
            <w:r>
              <w:rPr>
                <w:rFonts w:hint="eastAsia" w:ascii="宋体" w:hAnsi="宋体"/>
                <w:color w:val="000000"/>
                <w:kern w:val="0"/>
                <w:szCs w:val="21"/>
              </w:rPr>
              <w:t>方案演示内容的，电子版还须包含</w:t>
            </w:r>
            <w:r>
              <w:rPr>
                <w:color w:val="000000"/>
                <w:kern w:val="0"/>
                <w:szCs w:val="21"/>
              </w:rPr>
              <w:t>PPT</w:t>
            </w:r>
            <w:r>
              <w:rPr>
                <w:rFonts w:hint="eastAsia" w:ascii="宋体" w:hAnsi="宋体"/>
                <w:color w:val="000000"/>
                <w:kern w:val="0"/>
                <w:szCs w:val="21"/>
              </w:rPr>
              <w:t>演示稿）。</w:t>
            </w:r>
          </w:p>
        </w:tc>
      </w:tr>
      <w:tr>
        <w:tblPrEx>
          <w:tblLayout w:type="fixed"/>
        </w:tblPrEx>
        <w:trPr>
          <w:trHeight w:val="127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14.2</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签字或盖章要求</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响应文件的正本需打印或用不褪色墨水书写，并在响应文件格式有提示的地方由供应商的法定代表人或经法定代表人正式授权的代表签字及加盖单位公章。响应文件的副本可采用签字盖章后的正本的复印件。</w:t>
            </w:r>
            <w:r>
              <w:rPr>
                <w:rFonts w:hint="eastAsia" w:ascii="宋体" w:hAnsi="宋体" w:cs="宋体"/>
                <w:b/>
                <w:color w:val="000000"/>
                <w:kern w:val="0"/>
                <w:szCs w:val="21"/>
              </w:rPr>
              <w:t>所有响应文件（包括正本和副本）均须在封面和骑缝加盖公章。</w:t>
            </w:r>
          </w:p>
        </w:tc>
      </w:tr>
      <w:tr>
        <w:tblPrEx>
          <w:tblLayout w:type="fixed"/>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14.3</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装订要求</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Theme="minorEastAsia" w:hAnsiTheme="minorEastAsia" w:eastAsiaTheme="minorEastAsia"/>
                <w:kern w:val="0"/>
                <w:szCs w:val="21"/>
              </w:rPr>
              <w:t>每份响应文件必须固定装订成册（不得采用活页形式），并在响应文件封面上清楚地标明“正本”或“副本”字样，电子文件用信封封装。</w:t>
            </w:r>
            <w:r>
              <w:rPr>
                <w:rFonts w:hint="eastAsia" w:ascii="宋体" w:hAnsi="宋体" w:cs="宋体"/>
                <w:color w:val="000000"/>
                <w:kern w:val="0"/>
                <w:szCs w:val="21"/>
              </w:rPr>
              <w:t>所有响应文件应进行包装、加贴封条，封口处应加盖供应商印章。</w:t>
            </w:r>
          </w:p>
        </w:tc>
      </w:tr>
      <w:tr>
        <w:tblPrEx>
          <w:tblLayout w:type="fixed"/>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14.3</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封套上应载明的信息</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供应商名称：</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供应商地址：</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color w:val="000000"/>
                <w:kern w:val="0"/>
                <w:szCs w:val="21"/>
                <w:u w:val="single"/>
              </w:rPr>
            </w:pPr>
            <w:r>
              <w:rPr>
                <w:rFonts w:hint="eastAsia" w:ascii="宋体" w:hAnsi="宋体"/>
                <w:color w:val="000000"/>
                <w:kern w:val="0"/>
                <w:szCs w:val="21"/>
              </w:rPr>
              <w:t>（项目名称）磋商响应文件</w:t>
            </w:r>
          </w:p>
        </w:tc>
      </w:tr>
      <w:tr>
        <w:tblPrEx>
          <w:tblLayout w:type="fixed"/>
        </w:tblPrEx>
        <w:trPr>
          <w:trHeight w:val="27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在</w:t>
            </w: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日时分前不得开启</w:t>
            </w:r>
          </w:p>
        </w:tc>
      </w:tr>
      <w:tr>
        <w:tblPrEx>
          <w:tblLayout w:type="fixed"/>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15.1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首次响应文件递交截止时间和地点</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u w:val="single"/>
              </w:rPr>
            </w:pPr>
            <w:r>
              <w:rPr>
                <w:rFonts w:hint="eastAsia" w:ascii="宋体" w:hAnsi="宋体" w:cs="宋体"/>
                <w:color w:val="000000"/>
                <w:kern w:val="0"/>
                <w:szCs w:val="21"/>
                <w:u w:val="single"/>
              </w:rPr>
              <w:t>详见本项目采购公告</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16.3</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是否退还响应文件</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否</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17.1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响应文件及报价有效期</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首次响应文件提交截止日后</w:t>
            </w:r>
            <w:r>
              <w:rPr>
                <w:rFonts w:ascii="宋体" w:hAnsi="宋体" w:cs="宋体"/>
                <w:color w:val="000000"/>
                <w:kern w:val="0"/>
                <w:szCs w:val="21"/>
              </w:rPr>
              <w:t xml:space="preserve"> 90 </w:t>
            </w:r>
            <w:r>
              <w:rPr>
                <w:rFonts w:hint="eastAsia" w:ascii="宋体" w:hAnsi="宋体" w:cs="宋体"/>
                <w:color w:val="000000"/>
                <w:kern w:val="0"/>
                <w:szCs w:val="21"/>
              </w:rPr>
              <w:t>天内有效，中选人的报价有效期延续到合同终止日。</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18.1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磋商会议时间和地点</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详见本项目采购公告</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19.1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评审方法</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采用综合评分法，详见第五部分《评审方法》</w:t>
            </w:r>
          </w:p>
        </w:tc>
      </w:tr>
      <w:tr>
        <w:tblPrEx>
          <w:tblLayout w:type="fixed"/>
        </w:tblPrEx>
        <w:trPr>
          <w:trHeight w:val="90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20.2</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中选结果公示媒介</w:t>
            </w:r>
          </w:p>
        </w:tc>
        <w:tc>
          <w:tcPr>
            <w:tcW w:w="57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22"/>
                <w:szCs w:val="22"/>
              </w:rPr>
            </w:pPr>
            <w:r>
              <w:rPr>
                <w:rFonts w:hint="eastAsia" w:ascii="宋体" w:hAnsi="宋体" w:cs="宋体"/>
                <w:color w:val="000000"/>
                <w:kern w:val="0"/>
                <w:szCs w:val="21"/>
              </w:rPr>
              <w:t>①广发银行官网</w:t>
            </w:r>
            <w:r>
              <w:rPr>
                <w:rFonts w:ascii="宋体" w:hAnsi="宋体" w:cs="宋体"/>
                <w:color w:val="000000"/>
                <w:kern w:val="0"/>
                <w:szCs w:val="21"/>
              </w:rPr>
              <w:t>(www.cgbchina.com.cn)</w:t>
            </w:r>
            <w:r>
              <w:rPr>
                <w:rFonts w:hint="eastAsia" w:ascii="宋体" w:hAnsi="宋体" w:cs="宋体"/>
                <w:color w:val="000000"/>
                <w:kern w:val="0"/>
                <w:szCs w:val="21"/>
              </w:rPr>
              <w:t>；</w:t>
            </w:r>
          </w:p>
        </w:tc>
      </w:tr>
      <w:tr>
        <w:tblPrEx>
          <w:tblLayout w:type="fixed"/>
        </w:tblPrEx>
        <w:trPr>
          <w:trHeight w:val="127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21.4</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监管机构</w:t>
            </w:r>
          </w:p>
        </w:tc>
        <w:tc>
          <w:tcPr>
            <w:tcW w:w="5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监督管理机构名称：广发银行股份有限公司监察部</w:t>
            </w:r>
            <w:r>
              <w:rPr>
                <w:rFonts w:hint="eastAsia" w:ascii="宋体" w:hAnsi="宋体" w:cs="宋体"/>
                <w:color w:val="000000"/>
                <w:kern w:val="0"/>
                <w:szCs w:val="21"/>
              </w:rPr>
              <w:br w:type="textWrapping"/>
            </w:r>
            <w:r>
              <w:rPr>
                <w:rFonts w:hint="eastAsia" w:ascii="宋体" w:hAnsi="宋体" w:cs="宋体"/>
                <w:color w:val="000000"/>
                <w:kern w:val="0"/>
                <w:szCs w:val="21"/>
              </w:rPr>
              <w:t>地    址：广州市越秀区东风东路713号广发银行大厦20楼   邮编：510080</w:t>
            </w:r>
            <w:r>
              <w:rPr>
                <w:rFonts w:hint="eastAsia" w:ascii="宋体" w:hAnsi="宋体" w:cs="宋体"/>
                <w:color w:val="000000"/>
                <w:kern w:val="0"/>
                <w:szCs w:val="21"/>
              </w:rPr>
              <w:br w:type="textWrapping"/>
            </w:r>
            <w:r>
              <w:rPr>
                <w:rFonts w:hint="eastAsia" w:ascii="宋体" w:hAnsi="宋体" w:cs="宋体"/>
                <w:color w:val="000000"/>
                <w:kern w:val="0"/>
                <w:szCs w:val="21"/>
              </w:rPr>
              <w:t>电    话：020-38322919</w:t>
            </w:r>
          </w:p>
        </w:tc>
      </w:tr>
      <w:tr>
        <w:tblPrEx>
          <w:tblLayout w:type="fixed"/>
        </w:tblPrEx>
        <w:trPr>
          <w:trHeight w:val="270" w:hRule="atLeast"/>
          <w:jc w:val="center"/>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23.1</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履约保证金</w:t>
            </w: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√本项目不需要提交</w:t>
            </w:r>
          </w:p>
        </w:tc>
      </w:tr>
      <w:tr>
        <w:tblPrEx>
          <w:tblLayout w:type="fixed"/>
        </w:tblPrEx>
        <w:trPr>
          <w:trHeight w:val="1530" w:hRule="atLeast"/>
          <w:jc w:val="center"/>
        </w:trPr>
        <w:tc>
          <w:tcPr>
            <w:tcW w:w="86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7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□本项目需要提交。</w:t>
            </w:r>
            <w:r>
              <w:rPr>
                <w:rFonts w:hint="eastAsia" w:ascii="宋体" w:hAnsi="宋体" w:cs="宋体"/>
                <w:color w:val="000000"/>
                <w:kern w:val="0"/>
                <w:szCs w:val="21"/>
              </w:rPr>
              <w:br w:type="textWrapping"/>
            </w:r>
            <w:r>
              <w:rPr>
                <w:rFonts w:hint="eastAsia" w:ascii="宋体" w:hAnsi="宋体" w:cs="宋体"/>
                <w:color w:val="000000"/>
                <w:kern w:val="0"/>
                <w:szCs w:val="21"/>
              </w:rPr>
              <w:t>履约担保的金额：。</w:t>
            </w:r>
            <w:r>
              <w:rPr>
                <w:rFonts w:hint="eastAsia" w:ascii="宋体" w:hAnsi="宋体" w:cs="宋体"/>
                <w:color w:val="000000"/>
                <w:kern w:val="0"/>
                <w:szCs w:val="21"/>
              </w:rPr>
              <w:br w:type="textWrapping"/>
            </w:r>
            <w:r>
              <w:rPr>
                <w:rFonts w:hint="eastAsia" w:ascii="宋体" w:hAnsi="宋体" w:cs="宋体"/>
                <w:color w:val="000000"/>
                <w:kern w:val="0"/>
                <w:szCs w:val="21"/>
              </w:rPr>
              <w:t>履约担保的形式：可采用银行保函或事先经过采购人认可的形式，采用非现金转账方式提交的，转入账户同磋商保证金的收款账户，转帐时须注明“</w:t>
            </w:r>
            <w:r>
              <w:rPr>
                <w:rFonts w:ascii="宋体" w:hAnsi="宋体" w:cs="宋体"/>
                <w:i/>
                <w:color w:val="000000"/>
                <w:kern w:val="0"/>
                <w:szCs w:val="21"/>
              </w:rPr>
              <w:t>XXX</w:t>
            </w:r>
            <w:r>
              <w:rPr>
                <w:rFonts w:hint="eastAsia" w:ascii="宋体" w:hAnsi="宋体" w:cs="宋体"/>
                <w:color w:val="000000"/>
                <w:kern w:val="0"/>
                <w:szCs w:val="21"/>
              </w:rPr>
              <w:t>项目的履约保证金”。</w:t>
            </w:r>
          </w:p>
        </w:tc>
      </w:tr>
      <w:tr>
        <w:tblPrEx>
          <w:tblLayout w:type="fixed"/>
        </w:tblPrEx>
        <w:trPr>
          <w:trHeight w:val="270" w:hRule="atLeast"/>
          <w:jc w:val="center"/>
        </w:trPr>
        <w:tc>
          <w:tcPr>
            <w:tcW w:w="90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Cs w:val="21"/>
              </w:rPr>
            </w:pPr>
            <w:r>
              <w:rPr>
                <w:b/>
                <w:bCs/>
                <w:color w:val="000000"/>
                <w:kern w:val="0"/>
                <w:szCs w:val="21"/>
              </w:rPr>
              <w:t>　</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Cs w:val="21"/>
              </w:rPr>
            </w:pPr>
            <w:r>
              <w:rPr>
                <w:b/>
                <w:bCs/>
                <w:color w:val="000000"/>
                <w:kern w:val="0"/>
                <w:szCs w:val="21"/>
              </w:rPr>
              <w:t>　</w:t>
            </w:r>
          </w:p>
        </w:tc>
        <w:tc>
          <w:tcPr>
            <w:tcW w:w="8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需要补充的其他内容</w:t>
            </w:r>
          </w:p>
        </w:tc>
      </w:tr>
      <w:tr>
        <w:tblPrEx>
          <w:tblLayout w:type="fixed"/>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w:t>
            </w:r>
          </w:p>
        </w:tc>
        <w:tc>
          <w:tcPr>
            <w:tcW w:w="8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w:t>
            </w:r>
          </w:p>
        </w:tc>
      </w:tr>
    </w:tbl>
    <w:p>
      <w:pPr>
        <w:spacing w:line="300" w:lineRule="auto"/>
        <w:jc w:val="left"/>
        <w:rPr>
          <w:rFonts w:ascii="宋体" w:hAnsi="宋体"/>
          <w:b/>
          <w:bCs/>
          <w:kern w:val="44"/>
          <w:sz w:val="32"/>
          <w:szCs w:val="20"/>
        </w:rPr>
      </w:pPr>
      <w:r>
        <w:rPr>
          <w:rFonts w:hint="eastAsia" w:ascii="宋体" w:cs="宋体"/>
          <w:kern w:val="0"/>
          <w:szCs w:val="21"/>
        </w:rPr>
        <w:t>注：供应商须知前附表是指本文供应商须知中的内容说明、补充和重要提示，作为本磋商文件不可分割的一部分。供应商应结合本文供应商须知条款号进行充分理解。</w:t>
      </w:r>
    </w:p>
    <w:p>
      <w:pPr>
        <w:widowControl/>
        <w:jc w:val="left"/>
        <w:rPr>
          <w:rFonts w:asciiTheme="minorEastAsia" w:hAnsiTheme="minorEastAsia" w:eastAsiaTheme="minorEastAsia"/>
          <w:b/>
          <w:kern w:val="1"/>
          <w:szCs w:val="21"/>
        </w:rPr>
      </w:pPr>
      <w:r>
        <w:rPr>
          <w:rFonts w:asciiTheme="minorEastAsia" w:hAnsiTheme="minorEastAsia" w:eastAsiaTheme="minorEastAsia"/>
          <w:b/>
          <w:kern w:val="1"/>
          <w:szCs w:val="21"/>
        </w:rPr>
        <w:br w:type="page"/>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41" w:name="_Toc507608743"/>
      <w:r>
        <w:rPr>
          <w:rFonts w:hint="eastAsia" w:asciiTheme="minorEastAsia" w:hAnsiTheme="minorEastAsia" w:eastAsiaTheme="minorEastAsia"/>
          <w:b/>
          <w:kern w:val="1"/>
          <w:szCs w:val="21"/>
        </w:rPr>
        <w:t>一、说明</w:t>
      </w:r>
      <w:bookmarkEnd w:id="41"/>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1．适用范围及</w:t>
      </w:r>
      <w:r>
        <w:rPr>
          <w:rFonts w:cs="Courier New" w:asciiTheme="minorEastAsia" w:hAnsiTheme="minorEastAsia" w:eastAsiaTheme="minorEastAsia"/>
          <w:kern w:val="1"/>
          <w:szCs w:val="21"/>
        </w:rPr>
        <w:t>项目综合说明</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1.1本磋商文件适用于本竞争性磋商采购的项目。</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 定义</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2.1“采购人”是指：</w:t>
      </w:r>
      <w:r>
        <w:rPr>
          <w:rFonts w:hint="eastAsia" w:ascii="宋体" w:cs="宋体"/>
          <w:kern w:val="0"/>
          <w:szCs w:val="21"/>
        </w:rPr>
        <w:t>是指供应商须知前附表说明的单位</w:t>
      </w:r>
      <w:r>
        <w:rPr>
          <w:rFonts w:hint="eastAsia" w:asciiTheme="minorEastAsia" w:hAnsiTheme="minorEastAsia" w:eastAsiaTheme="minorEastAsia"/>
          <w:kern w:val="1"/>
          <w:szCs w:val="21"/>
        </w:rPr>
        <w:t>。在磋商阶段称为采购人，在签订和执行合同阶段或被称为建设单位或业主或甲方或买方。为便于磋商文件及附件直接转化为经济合同条款，在磋商文件中被称为建设单位或业主或甲方或买方的磋商阶段均指采购人。</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2.2“供应商”是指响应本文件要求，参加磋商的法人或者其他组织。</w:t>
      </w:r>
      <w:r>
        <w:rPr>
          <w:rFonts w:hint="eastAsia" w:cs="Courier New" w:asciiTheme="minorEastAsia" w:hAnsiTheme="minorEastAsia" w:eastAsiaTheme="minorEastAsia"/>
          <w:kern w:val="1"/>
          <w:szCs w:val="21"/>
        </w:rPr>
        <w:t>供应商资格条件</w:t>
      </w:r>
      <w:r>
        <w:rPr>
          <w:rFonts w:hint="eastAsia" w:cs="Courier New" w:asciiTheme="minorEastAsia" w:hAnsiTheme="minorEastAsia" w:eastAsiaTheme="minorEastAsia"/>
          <w:kern w:val="0"/>
          <w:szCs w:val="21"/>
        </w:rPr>
        <w:t>参见本文件第一部分采购公告</w:t>
      </w:r>
      <w:r>
        <w:rPr>
          <w:rFonts w:hint="eastAsia" w:asciiTheme="minorEastAsia" w:hAnsiTheme="minorEastAsia" w:eastAsiaTheme="minorEastAsia" w:cstheme="minorEastAsia"/>
          <w:szCs w:val="21"/>
        </w:rPr>
        <w:t>供应商资格要求。</w:t>
      </w:r>
      <w:r>
        <w:rPr>
          <w:rFonts w:hint="eastAsia" w:cs="Courier New" w:asciiTheme="minorEastAsia" w:hAnsiTheme="minorEastAsia" w:eastAsiaTheme="minorEastAsia"/>
          <w:kern w:val="1"/>
          <w:szCs w:val="21"/>
        </w:rPr>
        <w:t>除联合体外（联合体参与本项目须满足本项目关于联合体的规定），单位负责人为同一人、彼此存在投资与被投资、控股、管理关系的、或彼此的经营者、董事会（或同类管理机构）成员属于直系亲属或配偶关系的，均不被接受作为参与本项目的供应商。</w:t>
      </w:r>
    </w:p>
    <w:p>
      <w:pPr>
        <w:tabs>
          <w:tab w:val="left" w:pos="360"/>
        </w:tabs>
        <w:adjustRightInd w:val="0"/>
        <w:snapToGrid w:val="0"/>
        <w:spacing w:line="360" w:lineRule="auto"/>
        <w:ind w:firstLine="420" w:firstLineChars="200"/>
        <w:rPr>
          <w:rFonts w:asciiTheme="minorEastAsia" w:hAnsiTheme="minorEastAsia" w:eastAsiaTheme="minorEastAsia"/>
          <w:kern w:val="0"/>
          <w:szCs w:val="21"/>
        </w:rPr>
      </w:pPr>
      <w:r>
        <w:rPr>
          <w:rFonts w:hint="eastAsia" w:cs="Courier New" w:asciiTheme="minorEastAsia" w:hAnsiTheme="minorEastAsia" w:eastAsiaTheme="minorEastAsia"/>
          <w:kern w:val="1"/>
          <w:szCs w:val="21"/>
        </w:rPr>
        <w:t>2.3项目资格审查方式请见《供应商须知前附表》。</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2.4“中选供应商”是指经磋商程序并经采购人有权人审批确定并授予合同的供应商。</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2.5“响应文件”是指：供应商根据磋商文件要求，编制包含报价、技术（含服务、产品特点等）、商务等所有内容的实质性响应文件。</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2.6“监管部门”是指：</w:t>
      </w:r>
      <w:r>
        <w:rPr>
          <w:rFonts w:hint="eastAsia" w:cs="Courier New" w:asciiTheme="minorEastAsia" w:hAnsiTheme="minorEastAsia" w:eastAsiaTheme="minorEastAsia"/>
          <w:kern w:val="1"/>
          <w:szCs w:val="21"/>
        </w:rPr>
        <w:t>采购人的监察部门</w:t>
      </w:r>
      <w:r>
        <w:rPr>
          <w:rFonts w:hint="eastAsia" w:asciiTheme="minorEastAsia" w:hAnsiTheme="minorEastAsia" w:eastAsiaTheme="minorEastAsia"/>
          <w:kern w:val="1"/>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 合格的货物、工程和服务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 本次磋商项目是满足本磋商文件第三部分用户需求书所述的采购。</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 “货物”是指各种形态和种类的物品，包括原材料、燃料、设备、产品等。“合格的货物”是指供应商制造或组织符合磋商文件要求的全新的货物等。磋商优先采购节能、环保产品。磋商货物的设计、制造、包装和运输等必须符合中华人民共和国的相关国家标准、行业标准或企业标准（如有）的强制性规定，并满足磋商文件规定的规格、参数、质量、价格、有效期、售后服务等要求。</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磋商文件规定的质量验收等级标准的建设工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3.4 “服务”是指除货物和工程以外的其他采购对象。“合格的服务”是指供应商按磋商文件的规定，依据中华人民共和国的相关法律、法规、规章以及相关国家标准、行业标准或地方（或企业）标准（如有）的规定或规范要求，向采购人提供的满足磋商文件规定的需求或特定目标的服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3.5 供应商须保证，采购人在中华人民共和国接受和使用供应商所提供的货物、工程和服务的全部或任何一部分时，或者在享有合同的全部或部分权益时，免受第三方以侵犯其合法权益（包括但不限于侵犯其专利权、商标权、著作权或其它知识产权等等）而提出的任何求偿责任起诉。否则，供应商须承担采购人与此相关的一切损失（包括且不限于：诉讼费、律师费、经裁决由采购人承担的任何责任款项及费用、导致采购人需重新采购所产生的一切费用及时间费用损失等等）。</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4．磋商费用</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4.1 供应商应承担所有准备和参加磋商有关的费用。不论磋商的结果如何，采购人无义务和责任承担这些费用。</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42" w:name="_Toc507608744"/>
      <w:r>
        <w:rPr>
          <w:rFonts w:hint="eastAsia" w:asciiTheme="minorEastAsia" w:hAnsiTheme="minorEastAsia" w:eastAsiaTheme="minorEastAsia"/>
          <w:b/>
          <w:kern w:val="1"/>
          <w:szCs w:val="21"/>
        </w:rPr>
        <w:t>二、磋商文件</w:t>
      </w:r>
      <w:bookmarkEnd w:id="42"/>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 磋商文件的构成</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5.1磋商文件由下列文件以及在磋商过程中发出的修正和补充文件组成：</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第一部分 </w:t>
      </w:r>
      <w:r>
        <w:rPr>
          <w:rFonts w:hint="eastAsia" w:asciiTheme="minorEastAsia" w:hAnsiTheme="minorEastAsia" w:eastAsiaTheme="minorEastAsia"/>
          <w:kern w:val="1"/>
          <w:szCs w:val="21"/>
        </w:rPr>
        <w:t>采购公告</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第二部分 </w:t>
      </w:r>
      <w:r>
        <w:rPr>
          <w:rFonts w:hint="eastAsia" w:asciiTheme="minorEastAsia" w:hAnsiTheme="minorEastAsia" w:eastAsiaTheme="minorEastAsia"/>
          <w:kern w:val="1"/>
          <w:szCs w:val="21"/>
        </w:rPr>
        <w:t>供应商须知</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第三部分 </w:t>
      </w:r>
      <w:r>
        <w:rPr>
          <w:rFonts w:hint="eastAsia" w:asciiTheme="minorEastAsia" w:hAnsiTheme="minorEastAsia" w:eastAsiaTheme="minorEastAsia"/>
          <w:kern w:val="1"/>
          <w:szCs w:val="21"/>
        </w:rPr>
        <w:t>用户需求书</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第四部分 </w:t>
      </w:r>
      <w:r>
        <w:rPr>
          <w:rFonts w:hint="eastAsia" w:asciiTheme="minorEastAsia" w:hAnsiTheme="minorEastAsia" w:eastAsiaTheme="minorEastAsia"/>
          <w:kern w:val="1"/>
          <w:szCs w:val="21"/>
        </w:rPr>
        <w:t>合同书格式</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第五部分</w:t>
      </w:r>
      <w:r>
        <w:rPr>
          <w:rFonts w:hint="eastAsia" w:asciiTheme="minorEastAsia" w:hAnsiTheme="minorEastAsia" w:eastAsiaTheme="minorEastAsia"/>
          <w:kern w:val="1"/>
          <w:szCs w:val="21"/>
        </w:rPr>
        <w:t>评审方法</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第六部分</w:t>
      </w:r>
      <w:r>
        <w:rPr>
          <w:rFonts w:hint="eastAsia" w:asciiTheme="minorEastAsia" w:hAnsiTheme="minorEastAsia" w:eastAsiaTheme="minorEastAsia"/>
          <w:kern w:val="1"/>
          <w:szCs w:val="21"/>
        </w:rPr>
        <w:t>响应文件格式</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除上述内容外，采购人在规定时间内以书面形式发出的对磋商文件的澄清或修改内容，均为磋商文件的组成部分，对采购人和响应供应商起约束作用。</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5.2对磋商文件中各类参数、条款和须知中所列的带“★”标注号项为不可负偏离的重要参数要求，在磋商响应中须完全实质性响应，若其中一项出现劣性负偏离时将作无效响应处理。</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5.3本磋商文件的专业技术内容如涉及到有官方强制性要求或行业标准规范限制和禁止性内容时，应以官方强制性要求或行业标准规范为准；否则，以本磋商文件约定的技术要求为准。</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5.5如磋商文件要求供应商响应产品合法来源证明资料，是指制造商向供应商出具的授权销售证明书或供应商获得的响应产品合法取得始终连续的证明文件等，以保证采购人所使用的产品为供应商合法渠道所生产或获得。</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5.6 未有注明具体相关服务要求，均以行业通用标准为准。</w:t>
      </w:r>
    </w:p>
    <w:p>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5.7 采购人在没有特别要求时，只允许参与磋商的供应商提供唯一最具代表性和竞争力的磋商报价方案，对提供含糊不清、不确定或可选的报价方案者均作无效响应处理。</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6.磋商文件的澄清</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6.1任何要求对磋商文件进行澄清的供应商，</w:t>
      </w:r>
      <w:r>
        <w:rPr>
          <w:rFonts w:hint="eastAsia" w:asciiTheme="minorEastAsia" w:hAnsiTheme="minorEastAsia" w:eastAsiaTheme="minorEastAsia"/>
          <w:kern w:val="1"/>
          <w:szCs w:val="21"/>
        </w:rPr>
        <w:t>均应按《供应商须知前附表》所示的采购人联系方式和截止时间前以书面形式通知采购人。采购人</w:t>
      </w:r>
      <w:r>
        <w:rPr>
          <w:rFonts w:hint="eastAsia" w:cs="Courier New" w:asciiTheme="minorEastAsia" w:hAnsiTheme="minorEastAsia" w:eastAsiaTheme="minorEastAsia"/>
          <w:kern w:val="1"/>
          <w:szCs w:val="21"/>
        </w:rPr>
        <w:t>负责对磋商文件作出解释，并视情况对本项目中比较复杂的事项进行说明和依法回答</w:t>
      </w:r>
      <w:r>
        <w:rPr>
          <w:rFonts w:hint="eastAsia" w:cs="宋体" w:asciiTheme="minorEastAsia" w:hAnsiTheme="minorEastAsia" w:eastAsiaTheme="minorEastAsia"/>
          <w:kern w:val="1"/>
          <w:szCs w:val="21"/>
        </w:rPr>
        <w:t>供应商</w:t>
      </w:r>
      <w:r>
        <w:rPr>
          <w:rFonts w:hint="eastAsia" w:cs="Courier New" w:asciiTheme="minorEastAsia" w:hAnsiTheme="minorEastAsia" w:eastAsiaTheme="minorEastAsia"/>
          <w:kern w:val="1"/>
          <w:szCs w:val="21"/>
        </w:rPr>
        <w:t>提出的疑问及问题</w:t>
      </w:r>
      <w:r>
        <w:rPr>
          <w:rFonts w:hint="eastAsia" w:asciiTheme="minorEastAsia" w:hAnsiTheme="minorEastAsia" w:eastAsiaTheme="minorEastAsia"/>
          <w:kern w:val="1"/>
          <w:szCs w:val="21"/>
        </w:rPr>
        <w:t>。</w:t>
      </w:r>
      <w:r>
        <w:rPr>
          <w:rFonts w:hint="eastAsia" w:cs="Courier New" w:asciiTheme="minorEastAsia" w:hAnsiTheme="minorEastAsia" w:eastAsiaTheme="minorEastAsia"/>
          <w:kern w:val="1"/>
          <w:szCs w:val="21"/>
        </w:rPr>
        <w:t>采购人将根据具体情况采用其认为适当的方式予以回复,并在必要时将不标明问题来源的书面答复发给本磋商文件的所有收受人。该书面澄清答复将视为本磋商文件的组成部分。供应商在收到澄清答疑文件后，应于二十四小时内予以书面回复收悉，若供应商未在规定时间内回复收悉，视其已收到并充分了解了该澄清答疑的内容，并视为已放弃对该澄清答疑内容收悉的异议权。</w:t>
      </w:r>
    </w:p>
    <w:p>
      <w:pPr>
        <w:tabs>
          <w:tab w:val="left" w:pos="540"/>
        </w:tabs>
        <w:adjustRightInd w:val="0"/>
        <w:snapToGrid w:val="0"/>
        <w:spacing w:line="360" w:lineRule="auto"/>
        <w:ind w:firstLine="420" w:firstLineChars="200"/>
        <w:rPr>
          <w:rFonts w:cs="Courier New" w:asciiTheme="minorEastAsia" w:hAnsiTheme="minorEastAsia" w:eastAsiaTheme="minorEastAsia"/>
          <w:spacing w:val="-6"/>
          <w:kern w:val="1"/>
          <w:szCs w:val="21"/>
        </w:rPr>
      </w:pPr>
      <w:r>
        <w:rPr>
          <w:rFonts w:hint="eastAsia" w:asciiTheme="minorEastAsia" w:hAnsiTheme="minorEastAsia" w:eastAsiaTheme="minorEastAsia"/>
          <w:kern w:val="1"/>
          <w:szCs w:val="21"/>
        </w:rPr>
        <w:t>6.2</w:t>
      </w:r>
      <w:r>
        <w:rPr>
          <w:rFonts w:hint="eastAsia" w:cs="宋体" w:asciiTheme="minorEastAsia" w:hAnsiTheme="minorEastAsia" w:eastAsiaTheme="minorEastAsia"/>
          <w:spacing w:val="-6"/>
          <w:kern w:val="1"/>
          <w:szCs w:val="21"/>
        </w:rPr>
        <w:t>供应商</w:t>
      </w:r>
      <w:r>
        <w:rPr>
          <w:rFonts w:hint="eastAsia" w:cs="Courier New" w:asciiTheme="minorEastAsia" w:hAnsiTheme="minorEastAsia" w:eastAsiaTheme="minorEastAsia"/>
          <w:spacing w:val="-6"/>
          <w:kern w:val="1"/>
          <w:szCs w:val="21"/>
        </w:rPr>
        <w:t>在规定的时间内未对磋商文件澄清或提出疑问的，</w:t>
      </w:r>
      <w:r>
        <w:rPr>
          <w:rFonts w:hint="eastAsia" w:cs="Courier New" w:asciiTheme="minorEastAsia" w:hAnsiTheme="minorEastAsia" w:eastAsiaTheme="minorEastAsia"/>
          <w:kern w:val="1"/>
          <w:szCs w:val="21"/>
        </w:rPr>
        <w:t>采购人将</w:t>
      </w:r>
      <w:r>
        <w:rPr>
          <w:rFonts w:hint="eastAsia" w:cs="Courier New" w:asciiTheme="minorEastAsia" w:hAnsiTheme="minorEastAsia" w:eastAsiaTheme="minorEastAsia"/>
          <w:spacing w:val="-6"/>
          <w:kern w:val="1"/>
          <w:szCs w:val="21"/>
        </w:rPr>
        <w:t>视其为无异议。磋商开始后，如供应商的响应文件显示其对磋商文件中的描述有歧义或磋商文件的前后内容有不一致的地方，则项目评审委员会有权依据磋商文件及项目需求进行合理评判，但对同一条款的评判应适用于每个供应商。</w:t>
      </w:r>
    </w:p>
    <w:p>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6.3答疑会及踏勘现场，安排详见</w:t>
      </w:r>
      <w:r>
        <w:rPr>
          <w:rFonts w:hint="eastAsia" w:asciiTheme="minorEastAsia" w:hAnsiTheme="minorEastAsia" w:eastAsiaTheme="minorEastAsia"/>
          <w:kern w:val="1"/>
          <w:szCs w:val="21"/>
        </w:rPr>
        <w:t>《供应商须知前附表》</w:t>
      </w:r>
      <w:r>
        <w:rPr>
          <w:rFonts w:hint="eastAsia" w:cs="Courier New" w:asciiTheme="minorEastAsia" w:hAnsiTheme="minorEastAsia" w:eastAsiaTheme="minorEastAsia"/>
          <w:spacing w:val="-6"/>
          <w:kern w:val="1"/>
          <w:szCs w:val="21"/>
        </w:rPr>
        <w:t>。</w:t>
      </w:r>
    </w:p>
    <w:p>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1）对于有计划举行项目答疑会时，供应商的项目主要负责人等须按时出席，采购人将围绕磋商文件的内容现场澄清、解答供应商提出的问题，对个别内容确有必要作澄清修正时，采购人将按照极大地促进公平竞争的原则，集中统一后以书面形式通知各报名供应商，各供应商收悉后须及时予以确认。</w:t>
      </w:r>
    </w:p>
    <w:p>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（2）供应商出席答疑会及踏勘现场的费用、过失责任及风险均自行承担。</w:t>
      </w:r>
    </w:p>
    <w:p>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（3）对未有计划举行项目答疑会时，供应商应及时研究磋商文件，有疑问的可主动向采购人了解项目详情或提出书面澄清要求。</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asciiTheme="minorEastAsia" w:hAnsiTheme="minorEastAsia" w:eastAsiaTheme="minorEastAsia"/>
          <w:kern w:val="1"/>
          <w:szCs w:val="21"/>
        </w:rPr>
        <w:t xml:space="preserve">7. </w:t>
      </w:r>
      <w:r>
        <w:rPr>
          <w:rFonts w:hint="eastAsia" w:cs="Courier New" w:asciiTheme="minorEastAsia" w:hAnsiTheme="minorEastAsia" w:eastAsiaTheme="minorEastAsia"/>
          <w:kern w:val="1"/>
          <w:szCs w:val="21"/>
        </w:rPr>
        <w:t>磋商文件的修改</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7.l在响应文件递交截止时间前，无论出于何种原因，根据项目的需要，采购人可主动地或在解答供应商提出的疑问时对磋商文件进行修改和变更。</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7.2磋商文件的修改将以书面的形式于响应文件递交截止时间前通知磋商文件的所有收受人。该修改文件将构成磋商文件的一部分。供应商在收到该修改文件后，应于二十四小时内予以书面回复收悉，若供应商未在规定时间内回复收悉，视其已收悉并充分了解了该修改文件的内容，并视为已放弃对该修改文件收悉的异议权。</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7.3采购人考虑到修改和变更会对响应文件编制产生影响的，可酌情推迟响应文件递交截止时间，并书面通知所有响应并领取磋商文件的供应商。</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7.4在磋商过程中，磋商文件内容如有实质性的变更，项目评审委员会（或磋商小组，下同）将以书面形式通知所有参与磋商的供应商。若供应商对此类实质性变更不予接受，可以要求退出磋商，否则将被视为接受此变更并受其约束。</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43" w:name="_Toc507608745"/>
      <w:r>
        <w:rPr>
          <w:rFonts w:hint="eastAsia" w:asciiTheme="minorEastAsia" w:hAnsiTheme="minorEastAsia" w:eastAsiaTheme="minorEastAsia"/>
          <w:b/>
          <w:kern w:val="1"/>
          <w:szCs w:val="21"/>
        </w:rPr>
        <w:t>三、响应文件的编制</w:t>
      </w:r>
      <w:bookmarkEnd w:id="43"/>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 响应文件编制基本要求</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8.1 供应商对响应文件的编制应按要求装订和封装，对未经装订的响应文件可能发生的文件散落或缺损，由此产生的后果由供应商承担。</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8.2 供应商提交的响应文件及其与采购人就有关磋商的所有来往函电均应使用中文。供应商提交的支持文件或印刷的资料可以用另一种语言，但相应内容应附有中文翻译本，在解释响应文件的内容时以中文翻译本为准。对中文翻译有异议的，以权威机构的译本为准。</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8.3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响应文件按无效响应处理。</w:t>
      </w:r>
    </w:p>
    <w:p>
      <w:pPr>
        <w:widowControl/>
        <w:spacing w:line="360" w:lineRule="auto"/>
        <w:ind w:firstLine="420" w:firstLineChars="200"/>
        <w:rPr>
          <w:rFonts w:cs="Courier New" w:asciiTheme="minorEastAsia" w:hAnsiTheme="minorEastAsia" w:eastAsiaTheme="minorEastAsia"/>
          <w:kern w:val="1"/>
          <w:szCs w:val="21"/>
        </w:rPr>
      </w:pPr>
      <w:r>
        <w:rPr>
          <w:rFonts w:asciiTheme="minorEastAsia" w:hAnsiTheme="minorEastAsia" w:eastAsiaTheme="minorEastAsia"/>
          <w:kern w:val="0"/>
          <w:szCs w:val="21"/>
        </w:rPr>
        <w:t>8.4供应商必须对响应文件所提供的全部资料的真实性承担法律责任，并无条件接受采购人</w:t>
      </w:r>
      <w:r>
        <w:rPr>
          <w:rFonts w:hint="eastAsia" w:asciiTheme="minorEastAsia" w:hAnsiTheme="minorEastAsia" w:eastAsiaTheme="minorEastAsia"/>
          <w:kern w:val="0"/>
          <w:szCs w:val="21"/>
        </w:rPr>
        <w:t>对其中任何资料进行核实的要求。在中选通知书发出前或合同签订前，采购人根据需要将对中选人响应文件中的支撑材料（原件）及办公场所进行核实，如发现中选人存在虚假、伪造和夸大的成份，将取消其中选资格，并由供应商承担相应的后果和法律责任。</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 响应文件的构成</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9.1响应文件的构成应符合法律法规及磋商文件的要求。</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9.2供应商应按本磋商文件规定的内容和格式编制并提交响应文件，响应文件应参照磋商文件第六部分的内容要求、编排顺序和格式要求，按顺序装订成册，提供全面的响应文件。</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9.3供应商相关证明文件</w:t>
      </w:r>
    </w:p>
    <w:p>
      <w:pPr>
        <w:widowControl/>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9.3.1</w:t>
      </w:r>
      <w:r>
        <w:rPr>
          <w:rFonts w:hint="eastAsia" w:asciiTheme="minorEastAsia" w:hAnsiTheme="minorEastAsia" w:eastAsiaTheme="minorEastAsia"/>
          <w:kern w:val="0"/>
          <w:szCs w:val="21"/>
        </w:rPr>
        <w:t>供应商应按磋商文件的要求，提交证明其能力的文件，并作为其响应文件的组成部分。</w:t>
      </w:r>
    </w:p>
    <w:p>
      <w:pPr>
        <w:widowControl/>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如果本次磋商允许联合体参加，可根据供应商资格要求组成联合体。两个以上法人或者其他组织可以组成一个联合体，联合体各方均应当具备承担磋商项目的相应能力；国家有关规定或者磋商文件对供应商资格条件有规定的，联合体各方均应当具备规定的相应资格条件。由同一专业的单位组成的联合体，按照资质等级较低的单位确定资质等级。联合体各方应当签订《联合体共同报价协议》，注明主办人，明确约定各方拟承担的工作和责任，并将共同报价协议连同响应文件一并提交。联合体中选的，联合体各方应当共同与采购人签订合同，就中选项目向采购人承担连带责任。</w:t>
      </w:r>
    </w:p>
    <w:p>
      <w:pPr>
        <w:widowControl/>
        <w:autoSpaceDE w:val="0"/>
        <w:autoSpaceDN w:val="0"/>
        <w:adjustRightInd w:val="0"/>
        <w:snapToGrid w:val="0"/>
        <w:spacing w:line="360" w:lineRule="auto"/>
        <w:ind w:firstLine="420" w:firstLineChars="200"/>
        <w:rPr>
          <w:rFonts w:asciiTheme="minorEastAsia" w:hAnsiTheme="minorEastAsia" w:eastAsiaTheme="minorEastAsia"/>
          <w:color w:val="000000"/>
          <w:kern w:val="0"/>
          <w:szCs w:val="21"/>
        </w:rPr>
      </w:pPr>
      <w:r>
        <w:rPr>
          <w:rFonts w:hint="eastAsia"/>
          <w:kern w:val="0"/>
        </w:rPr>
        <w:t>（2）如果</w:t>
      </w:r>
      <w:r>
        <w:rPr>
          <w:rFonts w:hint="eastAsia"/>
        </w:rPr>
        <w:t>《</w:t>
      </w:r>
      <w:r>
        <w:rPr>
          <w:rFonts w:hint="eastAsia" w:asciiTheme="minorEastAsia" w:hAnsiTheme="minorEastAsia" w:eastAsiaTheme="minorEastAsia"/>
          <w:kern w:val="1"/>
          <w:szCs w:val="21"/>
        </w:rPr>
        <w:t>供应商</w:t>
      </w:r>
      <w:r>
        <w:rPr>
          <w:rFonts w:hint="eastAsia"/>
        </w:rPr>
        <w:t>须知前附表》</w:t>
      </w:r>
      <w:r>
        <w:rPr>
          <w:rFonts w:hint="eastAsia"/>
          <w:kern w:val="0"/>
        </w:rPr>
        <w:t>允许、且供应商拟将本项目的非主体、非关键性工作交由他人完成（分包）的，供应商应在响应文件中载明，并按《</w:t>
      </w:r>
      <w:r>
        <w:rPr>
          <w:rFonts w:hint="eastAsia" w:asciiTheme="minorEastAsia" w:hAnsiTheme="minorEastAsia" w:eastAsiaTheme="minorEastAsia"/>
          <w:kern w:val="1"/>
          <w:szCs w:val="21"/>
        </w:rPr>
        <w:t>供应商</w:t>
      </w:r>
      <w:r>
        <w:rPr>
          <w:rFonts w:hint="eastAsia"/>
          <w:kern w:val="0"/>
        </w:rPr>
        <w:t>须知前附表》的要求提交证明分包人合格的文件，且分包人不得再分包。如果供应商中选并将项目分包，其就分包项目向采购人负责，分包人就分包项目承担连带责任。</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9.3.2证明文件必须真实有效，复印件必须加盖单位公章。</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 证明报价标的物的合格性和符合磋商文件规定的文件：</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9.4.1 证明报价物标的物与磋商文件的要求相一致的文件，可以是文字资料、图纸、数据和实物等。供应商的报价内容与磋商文件的技术、商务要求有偏离时，无论这种偏离是否有利于采购人，供应商都应按磋商文件中的响应文件格式如实填写商务、合同及技术响应表，详细列明偏离的内容。</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9.4.2 供应商在阐述本文件第三部分用户需求书的工程、货物或服务主要技术指标和性能、或者服务方案的要求时应注意：磋商文件在技术规格中指出的工艺、材料和设备标准以及参照的牌号或分类号，或者服务方案的要求等内容，仅起说明作用，并没有任何限制性。供应商在报价中可以选用替代标准、牌号或分类号，但这些替代要实质上相当（或优）于技术规格的要求。</w:t>
      </w:r>
    </w:p>
    <w:p>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0"/>
          <w:szCs w:val="21"/>
        </w:rPr>
        <w:t>9.4.3在参加本次采购活动前三年内在经营活动中没有重大违法记录的证明及书面声明</w:t>
      </w:r>
      <w:r>
        <w:rPr>
          <w:rFonts w:hint="eastAsia" w:cs="Courier New" w:asciiTheme="minorEastAsia" w:hAnsiTheme="minorEastAsia" w:eastAsiaTheme="minorEastAsia"/>
          <w:kern w:val="1"/>
          <w:szCs w:val="21"/>
        </w:rPr>
        <w:t>。</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 报价及计量</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10.1供应商所提供的工程、货物和服务均应以人民币报价（磋商文件有特别要求的除外），若同时以人民币及外币报价的，以人民币报价为准。</w:t>
      </w:r>
    </w:p>
    <w:p>
      <w:pPr>
        <w:widowControl/>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kern w:val="0"/>
          <w:szCs w:val="21"/>
        </w:rPr>
        <w:t>10.2除磋商文件及其附件资料中有特殊要求外，响应文件中的所有计量单位均应采用中华人民共和国法定计量单位制。</w:t>
      </w:r>
    </w:p>
    <w:p>
      <w:pPr>
        <w:adjustRightInd w:val="0"/>
        <w:snapToGrid w:val="0"/>
        <w:spacing w:line="360" w:lineRule="auto"/>
        <w:ind w:firstLine="420" w:firstLineChars="200"/>
        <w:outlineLvl w:val="1"/>
        <w:rPr>
          <w:rFonts w:asciiTheme="minorEastAsia" w:hAnsiTheme="minorEastAsia" w:eastAsiaTheme="minorEastAsia"/>
          <w:b/>
          <w:kern w:val="0"/>
          <w:szCs w:val="21"/>
        </w:rPr>
      </w:pPr>
      <w:bookmarkStart w:id="44" w:name="_Toc507608746"/>
      <w:r>
        <w:rPr>
          <w:rFonts w:hint="eastAsia" w:asciiTheme="minorEastAsia" w:hAnsiTheme="minorEastAsia" w:eastAsiaTheme="minorEastAsia"/>
          <w:b/>
          <w:kern w:val="0"/>
          <w:szCs w:val="21"/>
        </w:rPr>
        <w:t>四、响应报价要求</w:t>
      </w:r>
      <w:bookmarkEnd w:id="44"/>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11. 供应商应按磋商文件要求的报价范围进行报价。任何报价是以供应商可独立履行本次磋商项目需求合同项下的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响应报价的总价之内。响应报价的价格中不得包含磋商文件要求以外的内容，否则，在评审时不予核减。</w:t>
      </w:r>
    </w:p>
    <w:p>
      <w:pPr>
        <w:widowControl/>
        <w:spacing w:line="360" w:lineRule="auto"/>
        <w:ind w:firstLine="420" w:firstLineChars="200"/>
        <w:rPr>
          <w:rFonts w:asciiTheme="minorEastAsia" w:hAnsiTheme="minorEastAsia" w:eastAsiaTheme="minorEastAsia"/>
          <w:b/>
          <w:kern w:val="1"/>
          <w:szCs w:val="21"/>
        </w:rPr>
      </w:pPr>
      <w:r>
        <w:rPr>
          <w:rFonts w:hint="eastAsia" w:asciiTheme="minorEastAsia" w:hAnsiTheme="minorEastAsia" w:eastAsiaTheme="minorEastAsia"/>
          <w:kern w:val="0"/>
          <w:szCs w:val="21"/>
        </w:rPr>
        <w:t>12.供应商的最终报价须保持唯一性。开放式、非唯一性（明确备选方案的除外）的报价方案将被评定响应无效。</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45" w:name="_Toc507608747"/>
      <w:r>
        <w:rPr>
          <w:rFonts w:hint="eastAsia" w:asciiTheme="minorEastAsia" w:hAnsiTheme="minorEastAsia" w:eastAsiaTheme="minorEastAsia"/>
          <w:b/>
          <w:kern w:val="1"/>
          <w:szCs w:val="21"/>
        </w:rPr>
        <w:t>五、磋商保证金</w:t>
      </w:r>
      <w:bookmarkEnd w:id="45"/>
    </w:p>
    <w:p>
      <w:pPr>
        <w:widowControl/>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13.1供应商应按</w:t>
      </w:r>
      <w:r>
        <w:rPr>
          <w:rFonts w:hint="eastAsia" w:asciiTheme="minorEastAsia" w:hAnsiTheme="minorEastAsia" w:eastAsiaTheme="minorEastAsia"/>
          <w:kern w:val="0"/>
          <w:szCs w:val="21"/>
        </w:rPr>
        <w:t>磋商</w:t>
      </w:r>
      <w:r>
        <w:rPr>
          <w:rFonts w:asciiTheme="minorEastAsia" w:hAnsiTheme="minorEastAsia" w:eastAsiaTheme="minorEastAsia"/>
          <w:kern w:val="0"/>
          <w:szCs w:val="21"/>
        </w:rPr>
        <w:t>文件规定的金额和期限交纳磋商保证金（金额见《供应商须知前附表》），磋商保证金作为磋商文件的组成部分</w:t>
      </w:r>
      <w:r>
        <w:rPr>
          <w:rFonts w:hint="eastAsia" w:ascii="宋体" w:hAnsi="宋体"/>
        </w:rPr>
        <w:t>。供应商与交款人名称必须一致，非供应商缴纳的磋商保证金无效。</w:t>
      </w:r>
    </w:p>
    <w:p>
      <w:pPr>
        <w:widowControl/>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13.2</w:t>
      </w:r>
      <w:r>
        <w:rPr>
          <w:rFonts w:hint="eastAsia" w:asciiTheme="minorEastAsia" w:hAnsiTheme="minorEastAsia" w:eastAsiaTheme="minorEastAsia"/>
          <w:kern w:val="0"/>
          <w:szCs w:val="21"/>
        </w:rPr>
        <w:t>磋商保证金须用非现金形式提交，包括非现金转入或汇入，并应符合《供应商须知前附表》规定。磋商</w:t>
      </w:r>
      <w:r>
        <w:rPr>
          <w:rFonts w:hint="eastAsia"/>
        </w:rPr>
        <w:t>保证金须从供应商的账户一次性转出或汇出，否则视同其缴纳的磋商保证金无效。</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13.3凡未按规定交纳磋商保证金的，其</w:t>
      </w:r>
      <w:r>
        <w:rPr>
          <w:rFonts w:hint="eastAsia" w:cs="宋体" w:asciiTheme="minorEastAsia" w:hAnsiTheme="minorEastAsia" w:eastAsiaTheme="minorEastAsia"/>
          <w:kern w:val="0"/>
          <w:szCs w:val="21"/>
        </w:rPr>
        <w:t>响应文件</w:t>
      </w:r>
      <w:r>
        <w:rPr>
          <w:rFonts w:hint="eastAsia" w:asciiTheme="minorEastAsia" w:hAnsiTheme="minorEastAsia" w:eastAsiaTheme="minorEastAsia"/>
          <w:kern w:val="0"/>
          <w:szCs w:val="21"/>
        </w:rPr>
        <w:t>为响应无效。</w:t>
      </w:r>
    </w:p>
    <w:p>
      <w:pPr>
        <w:widowControl/>
        <w:adjustRightInd w:val="0"/>
        <w:snapToGrid w:val="0"/>
        <w:spacing w:line="360" w:lineRule="auto"/>
        <w:ind w:firstLine="420" w:firstLineChars="200"/>
        <w:rPr>
          <w:rFonts w:ascii="宋体" w:hAnsi="宋体"/>
          <w:kern w:val="0"/>
          <w:szCs w:val="22"/>
        </w:rPr>
      </w:pPr>
      <w:r>
        <w:rPr>
          <w:rFonts w:asciiTheme="minorEastAsia" w:hAnsiTheme="minorEastAsia" w:eastAsiaTheme="minorEastAsia"/>
          <w:kern w:val="0"/>
          <w:szCs w:val="21"/>
        </w:rPr>
        <w:t>13.4</w:t>
      </w:r>
      <w:r>
        <w:rPr>
          <w:rFonts w:hint="eastAsia" w:ascii="宋体" w:hAnsi="宋体"/>
          <w:kern w:val="0"/>
          <w:szCs w:val="22"/>
        </w:rPr>
        <w:t>如无</w:t>
      </w:r>
      <w:r>
        <w:rPr>
          <w:rFonts w:hint="eastAsia" w:asciiTheme="minorEastAsia" w:hAnsiTheme="minorEastAsia" w:eastAsiaTheme="minorEastAsia"/>
          <w:kern w:val="0"/>
          <w:szCs w:val="21"/>
        </w:rPr>
        <w:t>异议</w:t>
      </w:r>
      <w:r>
        <w:rPr>
          <w:rFonts w:hint="eastAsia" w:ascii="宋体" w:hAnsi="宋体"/>
          <w:kern w:val="0"/>
          <w:szCs w:val="22"/>
        </w:rPr>
        <w:t>或投诉，未被确定为中选供应商的磋商保证金，在中选通知书发出后5个工作日内原额退还，但因供应商自身原因导致无法及时退还或存在法规和磋商文件规定保证金不予退还情形的除外；如有异议或投诉，将在异议和投诉处理完毕后且没有不予退还情形的再办理退还手续。</w:t>
      </w:r>
    </w:p>
    <w:p>
      <w:pPr>
        <w:widowControl/>
        <w:adjustRightInd w:val="0"/>
        <w:snapToGrid w:val="0"/>
        <w:spacing w:line="360" w:lineRule="auto"/>
        <w:ind w:firstLine="420" w:firstLineChars="200"/>
        <w:rPr>
          <w:rFonts w:ascii="宋体" w:hAnsi="宋体"/>
          <w:kern w:val="0"/>
          <w:szCs w:val="22"/>
        </w:rPr>
      </w:pPr>
      <w:r>
        <w:rPr>
          <w:rFonts w:hint="eastAsia" w:ascii="宋体" w:hAnsi="宋体"/>
          <w:kern w:val="0"/>
          <w:szCs w:val="22"/>
        </w:rPr>
        <w:t>13.5中选供应商的磋商保证金,在中选供应商与采购人签订采购合同后5个工作日内原额退还，但因供应商自身原因导致无法及时退还或存在法规或本磋商文件规定保证金不予退还情形的除外。</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13.6有下列情形之一的，</w:t>
      </w:r>
      <w:r>
        <w:rPr>
          <w:rFonts w:hint="eastAsia" w:asciiTheme="minorEastAsia" w:hAnsiTheme="minorEastAsia" w:eastAsiaTheme="minorEastAsia"/>
          <w:color w:val="000000"/>
          <w:kern w:val="0"/>
          <w:szCs w:val="21"/>
        </w:rPr>
        <w:t>磋商保证金将不予退还：</w:t>
      </w:r>
    </w:p>
    <w:p>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kern w:val="0"/>
          <w:szCs w:val="22"/>
        </w:rPr>
        <w:t>（</w:t>
      </w:r>
      <w:r>
        <w:rPr>
          <w:rFonts w:hint="eastAsia" w:ascii="宋体" w:hAnsi="宋体"/>
          <w:snapToGrid w:val="0"/>
          <w:kern w:val="0"/>
          <w:szCs w:val="22"/>
        </w:rPr>
        <w:t>1）供应商在提交响应文件截止时间后撤回响应文件的；</w:t>
      </w:r>
    </w:p>
    <w:p>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（2）供应商在响应文件中提供虚假材料的；</w:t>
      </w:r>
    </w:p>
    <w:p>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（3）除因不可抗力或磋商文件认可的情形以外，中选供应商不与采购人签订合同的或</w:t>
      </w:r>
      <w:r>
        <w:rPr>
          <w:rFonts w:hint="eastAsia" w:asciiTheme="minorEastAsia" w:hAnsiTheme="minorEastAsia" w:eastAsiaTheme="minorEastAsia"/>
          <w:kern w:val="0"/>
          <w:szCs w:val="21"/>
        </w:rPr>
        <w:t>不按《供应商须知前附表》的规定提交履约保证金的；</w:t>
      </w:r>
    </w:p>
    <w:p>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（4）供应商与采购人、其他供应商或者采购代理机构恶意串通的；</w:t>
      </w:r>
    </w:p>
    <w:p>
      <w:pPr>
        <w:widowControl/>
        <w:tabs>
          <w:tab w:val="left" w:pos="735"/>
        </w:tabs>
        <w:adjustRightInd w:val="0"/>
        <w:snapToGrid w:val="0"/>
        <w:spacing w:line="360" w:lineRule="auto"/>
        <w:ind w:firstLine="420" w:firstLineChars="200"/>
        <w:rPr>
          <w:rFonts w:asciiTheme="minorEastAsia" w:hAnsiTheme="minorEastAsia" w:eastAsiaTheme="minorEastAsia"/>
          <w:b/>
          <w:kern w:val="0"/>
          <w:szCs w:val="21"/>
        </w:rPr>
      </w:pPr>
      <w:r>
        <w:rPr>
          <w:rFonts w:hint="eastAsia" w:ascii="宋体" w:hAnsi="宋体"/>
          <w:snapToGrid w:val="0"/>
          <w:kern w:val="0"/>
          <w:szCs w:val="22"/>
        </w:rPr>
        <w:t>（5）磋商文件规定、</w:t>
      </w:r>
      <w:r>
        <w:rPr>
          <w:rFonts w:hint="eastAsia" w:asciiTheme="minorEastAsia" w:hAnsiTheme="minorEastAsia" w:eastAsiaTheme="minorEastAsia"/>
          <w:kern w:val="0"/>
          <w:szCs w:val="21"/>
        </w:rPr>
        <w:t>法律规定</w:t>
      </w:r>
      <w:r>
        <w:rPr>
          <w:rFonts w:hint="eastAsia" w:ascii="宋体" w:hAnsi="宋体"/>
          <w:snapToGrid w:val="0"/>
          <w:kern w:val="0"/>
          <w:szCs w:val="22"/>
        </w:rPr>
        <w:t>的其他不予退还的情形。</w:t>
      </w:r>
    </w:p>
    <w:p>
      <w:pPr>
        <w:adjustRightInd w:val="0"/>
        <w:snapToGrid w:val="0"/>
        <w:spacing w:line="360" w:lineRule="auto"/>
        <w:ind w:firstLine="420" w:firstLineChars="200"/>
        <w:outlineLvl w:val="1"/>
        <w:rPr>
          <w:rFonts w:asciiTheme="minorEastAsia" w:hAnsiTheme="minorEastAsia" w:eastAsiaTheme="minorEastAsia"/>
          <w:b/>
          <w:kern w:val="0"/>
          <w:szCs w:val="21"/>
        </w:rPr>
      </w:pPr>
      <w:bookmarkStart w:id="46" w:name="_Toc507608748"/>
      <w:r>
        <w:rPr>
          <w:rFonts w:hint="eastAsia" w:asciiTheme="minorEastAsia" w:hAnsiTheme="minorEastAsia" w:eastAsiaTheme="minorEastAsia"/>
          <w:b/>
          <w:kern w:val="0"/>
          <w:szCs w:val="21"/>
        </w:rPr>
        <w:t>六、响应文件的份数、封装和递交</w:t>
      </w:r>
      <w:bookmarkEnd w:id="46"/>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w:t>
      </w:r>
      <w:r>
        <w:rPr>
          <w:rFonts w:hint="eastAsia" w:cs="宋体" w:asciiTheme="minorEastAsia" w:hAnsiTheme="minorEastAsia" w:eastAsiaTheme="minorEastAsia"/>
          <w:kern w:val="0"/>
          <w:szCs w:val="21"/>
        </w:rPr>
        <w:t>响应文件</w:t>
      </w:r>
      <w:r>
        <w:rPr>
          <w:rFonts w:hint="eastAsia" w:asciiTheme="minorEastAsia" w:hAnsiTheme="minorEastAsia" w:eastAsiaTheme="minorEastAsia"/>
          <w:kern w:val="0"/>
          <w:szCs w:val="21"/>
        </w:rPr>
        <w:t>的份数和封装</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14.1响应文件正本、副本的数量和签署要求见《供应商须知前附表》规定，内容应一致，如果正本与副本不符，以正本为准。每份响应文件必须固定装订成册（不得采用活页形式），并在响应文件封面上清楚地标明“正本”或“副本”字样。电子版文件要求以光盘或U 盘介质提供，不留密码，无病毒，不压缩，其中报价部分应须保留EXCEL格式或WORD 格式可编辑文档格式文件，如中选，该部分内容将根据规定用于结果公告公布，如有现场PPT 方案演示内容的，电子版还须包含PPT演示稿）。正本和副本、电子版不符，则以纸质正本为准。</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14.2响应文件的正本需打印或用不褪色墨水书写，并在响应文件格式有提示的地方由供应商的法定代表人或经法定代表人正式授权的代表签字及加盖单位公章。响应文件由法定代表人签字的，须在响应文件中出具“法定代表人资格证明书”原件；响应文件由授权代表签字的，则须在响应文件中出具“法定代表人资格证明书”和“法定代表人授权书”原件。响应文件的副本可采用签字盖章后的正本的复印件。所有响应文件（包括正本和副本）均须在封面和骑缝加盖公章，所有的复印件（包括正本中的响应资料）均应保证清晰可辨，否则项目评审委员会有权不予认可其有效性。响应文件的任何行间插字、涂改和增删，</w:t>
      </w:r>
      <w:r>
        <w:rPr>
          <w:rFonts w:hint="eastAsia" w:asciiTheme="minorEastAsia" w:hAnsiTheme="minorEastAsia" w:eastAsiaTheme="minorEastAsia"/>
          <w:color w:val="000000"/>
          <w:kern w:val="0"/>
          <w:szCs w:val="21"/>
        </w:rPr>
        <w:t>必须由磋商响应文件的签字人在旁边签字并加盖单位公章才有效。</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宋体" w:hAnsi="宋体"/>
        </w:rPr>
        <w:t>14.3所有响应文件</w:t>
      </w:r>
      <w:r>
        <w:rPr>
          <w:rFonts w:hint="eastAsia"/>
        </w:rPr>
        <w:t>应进行包装、加贴封条。</w:t>
      </w:r>
      <w:r>
        <w:rPr>
          <w:rFonts w:hint="eastAsia" w:ascii="宋体" w:hAnsi="宋体"/>
        </w:rPr>
        <w:t>外包装上应当注明采购项目名称、采购项目编号和“在（《供应商须知前附表》中规定的</w:t>
      </w:r>
      <w:r>
        <w:rPr>
          <w:rFonts w:hint="eastAsia" w:ascii="宋体" w:hAnsi="宋体"/>
          <w:iCs/>
        </w:rPr>
        <w:t>递交响应文件截止日期和时点）</w:t>
      </w:r>
      <w:r>
        <w:rPr>
          <w:rFonts w:hint="eastAsia" w:ascii="宋体" w:hAnsi="宋体"/>
        </w:rPr>
        <w:t>之前不得启封”的字样，封口处应加盖供应商印章。</w:t>
      </w:r>
    </w:p>
    <w:p>
      <w:pPr>
        <w:widowControl/>
        <w:adjustRightInd w:val="0"/>
        <w:snapToGrid w:val="0"/>
        <w:spacing w:line="360" w:lineRule="auto"/>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kern w:val="0"/>
          <w:szCs w:val="21"/>
        </w:rPr>
        <w:t>14.4采购人</w:t>
      </w:r>
      <w:r>
        <w:rPr>
          <w:rFonts w:hint="eastAsia" w:ascii="宋体" w:hAnsi="宋体"/>
        </w:rPr>
        <w:t>对因响应文件未装订成册而造成的响应文件的损坏、丢失不承担任何责任</w:t>
      </w:r>
      <w:r>
        <w:rPr>
          <w:rFonts w:hint="eastAsia" w:asciiTheme="minorEastAsia" w:hAnsiTheme="minorEastAsia" w:eastAsiaTheme="minorEastAsia"/>
          <w:kern w:val="0"/>
          <w:szCs w:val="21"/>
        </w:rPr>
        <w:t>。</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14.5</w:t>
      </w:r>
      <w:r>
        <w:rPr>
          <w:rFonts w:hint="eastAsia" w:asciiTheme="minorEastAsia" w:hAnsiTheme="minorEastAsia" w:eastAsiaTheme="minorEastAsia"/>
          <w:color w:val="000000"/>
          <w:kern w:val="0"/>
          <w:szCs w:val="21"/>
        </w:rPr>
        <w:t>采购人</w:t>
      </w:r>
      <w:r>
        <w:rPr>
          <w:rFonts w:hint="eastAsia" w:asciiTheme="minorEastAsia" w:hAnsiTheme="minorEastAsia" w:eastAsiaTheme="minorEastAsia"/>
          <w:kern w:val="0"/>
          <w:szCs w:val="21"/>
        </w:rPr>
        <w:t>对不可抗力事件造成的响应文件的损坏、丢失不承担任何责任。</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15.响应文件的递交</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15.1所有响应文件应于《供应商须知前附表》中规定的截止时点前递交到响应文件收取地点。</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15.2</w:t>
      </w:r>
      <w:r>
        <w:rPr>
          <w:rFonts w:hint="eastAsia" w:asciiTheme="minorEastAsia" w:hAnsiTheme="minorEastAsia" w:eastAsiaTheme="minorEastAsia"/>
          <w:snapToGrid w:val="0"/>
          <w:kern w:val="0"/>
          <w:szCs w:val="21"/>
        </w:rPr>
        <w:t>未按要求密封或</w:t>
      </w:r>
      <w:r>
        <w:rPr>
          <w:rFonts w:hint="eastAsia" w:asciiTheme="minorEastAsia" w:hAnsiTheme="minorEastAsia" w:eastAsiaTheme="minorEastAsia"/>
          <w:kern w:val="0"/>
          <w:szCs w:val="21"/>
        </w:rPr>
        <w:t>迟交或未送达指定地点的响应文件，采购人将拒收，或原封退回在规定的递交响应文件截止时点之后收到的任何响应文件。</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15.3本次采购不接受邮寄、电报、电话、传真方式报价。</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16.响应文件的修改和撤回</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16.1供应商在提交响应文件递交截止时间前，可以对所递交的响应文件进行补充、修改或者撤回，并书面通知采购人。在首次响应文件递交截止时间之后，除非在磋商期间应项目评审委员会的要求，供应商不可以修改其响应文件内容。补充、修改的内容应当按磋商文件要求签署、盖章，并作为响应文件的组成部分。在响应文件递交截止时间之后不允许撤回响应文件。</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16.2磋商期间应项目评审委员会要求所作的澄清、说明、更正和最终报价应在项目评审委员会规定的时间内递交。</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16.3供应商所提交的响应文件在评审结束后，无论中选与否都不退还。</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17.响应文件及报价有效期</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17.1响应文件及报价有效期见《供应商须知前附表》规定的天数，供应商的响应文件及报价应在有效期内保持有效，有效期不足的将被视为实质性不响应磋商文件而被宣布无效响应。</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17.2在特殊情况下，采购人可于有效期满之前要求供应商同意延长有效期，要求与答复均应以书面形式。供应商可以拒绝上述要求而其磋商保证金不被没收，同意延期的供应商在原报价有效期内应享之权利及应负之责任也相应延续。</w:t>
      </w:r>
    </w:p>
    <w:p>
      <w:pPr>
        <w:adjustRightInd w:val="0"/>
        <w:snapToGrid w:val="0"/>
        <w:spacing w:line="360" w:lineRule="auto"/>
        <w:ind w:firstLine="420" w:firstLineChars="200"/>
        <w:outlineLvl w:val="1"/>
        <w:rPr>
          <w:rFonts w:asciiTheme="minorEastAsia" w:hAnsiTheme="minorEastAsia" w:eastAsiaTheme="minorEastAsia"/>
          <w:kern w:val="0"/>
          <w:szCs w:val="21"/>
        </w:rPr>
      </w:pPr>
      <w:bookmarkStart w:id="47" w:name="_Toc507608749"/>
      <w:r>
        <w:rPr>
          <w:rFonts w:hint="eastAsia" w:asciiTheme="minorEastAsia" w:hAnsiTheme="minorEastAsia" w:eastAsiaTheme="minorEastAsia"/>
          <w:b/>
          <w:kern w:val="0"/>
          <w:szCs w:val="21"/>
        </w:rPr>
        <w:t>七、磋商及评审</w:t>
      </w:r>
      <w:bookmarkEnd w:id="47"/>
    </w:p>
    <w:p>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18.磋商</w:t>
      </w:r>
    </w:p>
    <w:p>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18.1采购人将在《供应商须知前附表》规定的时间地点组织磋商会，供应商法定代表人或其授权代表务必携带有效身份证件和授权委托文件准时参加磋商，并在磋商签到表签名证明其出席，磋商现场响应项目评审委员会认为必要的澄清，其现场所签署确认的文件均代表响应供应商的真实意愿和决定，并作为响应文件的补充内容，具有不可撤消更改的法律效力。供应商法定代表人或其授权代表未参加磋商的，其磋商响应文件将被拒绝。</w:t>
      </w:r>
    </w:p>
    <w:p>
      <w:pPr>
        <w:tabs>
          <w:tab w:val="left" w:pos="360"/>
          <w:tab w:val="left" w:pos="390"/>
          <w:tab w:val="left" w:pos="540"/>
        </w:tabs>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18.2</w:t>
      </w:r>
      <w:r>
        <w:rPr>
          <w:rFonts w:hint="eastAsia" w:asciiTheme="minorEastAsia" w:hAnsiTheme="minorEastAsia" w:eastAsiaTheme="minorEastAsia"/>
          <w:color w:val="000000"/>
          <w:kern w:val="0"/>
          <w:szCs w:val="21"/>
        </w:rPr>
        <w:t>磋商由采购人按规定组建的项目评审委员会负责。</w:t>
      </w:r>
      <w:r>
        <w:rPr>
          <w:rFonts w:hint="eastAsia" w:asciiTheme="minorEastAsia" w:hAnsiTheme="minorEastAsia" w:eastAsiaTheme="minorEastAsia"/>
          <w:kern w:val="0"/>
          <w:szCs w:val="21"/>
        </w:rPr>
        <w:t>项目</w:t>
      </w:r>
      <w:r>
        <w:rPr>
          <w:rFonts w:hint="eastAsia" w:asciiTheme="minorEastAsia" w:hAnsiTheme="minorEastAsia" w:eastAsiaTheme="minorEastAsia"/>
          <w:szCs w:val="21"/>
        </w:rPr>
        <w:t>评审</w:t>
      </w:r>
      <w:r>
        <w:rPr>
          <w:rFonts w:hint="eastAsia" w:asciiTheme="minorEastAsia" w:hAnsiTheme="minorEastAsia" w:eastAsiaTheme="minorEastAsia"/>
          <w:kern w:val="0"/>
          <w:szCs w:val="21"/>
        </w:rPr>
        <w:t>委员会所有成员集中与单一供应商分别进行磋商，并给予所有参加磋商的供应商平等的磋商机会。</w:t>
      </w:r>
    </w:p>
    <w:p>
      <w:pPr>
        <w:tabs>
          <w:tab w:val="left" w:pos="360"/>
          <w:tab w:val="left" w:pos="390"/>
          <w:tab w:val="left" w:pos="540"/>
        </w:tabs>
        <w:spacing w:line="360" w:lineRule="auto"/>
        <w:ind w:firstLine="420" w:firstLineChars="200"/>
      </w:pPr>
      <w:r>
        <w:rPr>
          <w:rFonts w:ascii="宋体" w:hAnsi="宋体"/>
        </w:rPr>
        <w:t xml:space="preserve">18.3 </w:t>
      </w:r>
      <w:r>
        <w:rPr>
          <w:rFonts w:hint="eastAsia" w:ascii="宋体" w:hAnsi="宋体"/>
        </w:rPr>
        <w:t>项目评审委员会</w:t>
      </w:r>
      <w:r>
        <w:rPr>
          <w:rFonts w:hint="eastAsia" w:asciiTheme="minorEastAsia" w:hAnsiTheme="minorEastAsia" w:eastAsiaTheme="minorEastAsia"/>
          <w:color w:val="000000"/>
          <w:kern w:val="0"/>
          <w:szCs w:val="21"/>
        </w:rPr>
        <w:t>根据</w:t>
      </w:r>
      <w:r>
        <w:rPr>
          <w:rFonts w:hint="eastAsia"/>
        </w:rPr>
        <w:t>磋商文件的规定及供应商响应文件和最终</w:t>
      </w:r>
      <w:r>
        <w:rPr>
          <w:rFonts w:hint="eastAsia" w:ascii="宋体" w:hAnsi="宋体"/>
        </w:rPr>
        <w:t>磋商</w:t>
      </w:r>
      <w:r>
        <w:rPr>
          <w:rFonts w:hint="eastAsia"/>
        </w:rPr>
        <w:t>结果进行评审</w:t>
      </w:r>
      <w:r>
        <w:t>,</w:t>
      </w:r>
      <w:r>
        <w:rPr>
          <w:rFonts w:hint="eastAsia"/>
        </w:rPr>
        <w:t>并据此推荐中选候选供应商。</w:t>
      </w:r>
    </w:p>
    <w:p>
      <w:pPr>
        <w:tabs>
          <w:tab w:val="left" w:pos="360"/>
          <w:tab w:val="left" w:pos="390"/>
          <w:tab w:val="left" w:pos="540"/>
        </w:tabs>
        <w:spacing w:line="360" w:lineRule="auto"/>
        <w:ind w:firstLine="420" w:firstLineChars="200"/>
        <w:rPr>
          <w:rFonts w:ascii="宋体" w:hAnsi="宋体"/>
        </w:rPr>
      </w:pPr>
      <w:r>
        <w:rPr>
          <w:rFonts w:ascii="宋体" w:hAnsi="宋体"/>
        </w:rPr>
        <w:t>19.</w:t>
      </w:r>
      <w:r>
        <w:rPr>
          <w:rFonts w:hint="eastAsia" w:ascii="宋体" w:hAnsi="宋体"/>
        </w:rPr>
        <w:t>评审方法</w:t>
      </w:r>
    </w:p>
    <w:p>
      <w:pPr>
        <w:widowControl/>
        <w:spacing w:line="360" w:lineRule="auto"/>
        <w:ind w:firstLine="420" w:firstLineChars="200"/>
        <w:rPr>
          <w:rFonts w:asciiTheme="minorEastAsia" w:hAnsiTheme="minorEastAsia" w:eastAsiaTheme="minorEastAsia"/>
          <w:b/>
          <w:kern w:val="0"/>
          <w:szCs w:val="21"/>
        </w:rPr>
      </w:pPr>
      <w:r>
        <w:rPr>
          <w:rFonts w:ascii="宋体" w:hAnsi="宋体"/>
        </w:rPr>
        <w:t>19.1</w:t>
      </w:r>
      <w:r>
        <w:rPr>
          <w:rFonts w:hint="eastAsia" w:ascii="宋体" w:hAnsi="宋体"/>
        </w:rPr>
        <w:t>具体见磋商文件第五部分“评审方法”。</w:t>
      </w:r>
    </w:p>
    <w:p>
      <w:pPr>
        <w:adjustRightInd w:val="0"/>
        <w:snapToGrid w:val="0"/>
        <w:spacing w:line="360" w:lineRule="auto"/>
        <w:ind w:firstLine="420" w:firstLineChars="200"/>
        <w:outlineLvl w:val="1"/>
        <w:rPr>
          <w:rFonts w:asciiTheme="minorEastAsia" w:hAnsiTheme="minorEastAsia" w:eastAsiaTheme="minorEastAsia"/>
          <w:b/>
          <w:kern w:val="0"/>
          <w:szCs w:val="21"/>
        </w:rPr>
      </w:pPr>
      <w:bookmarkStart w:id="48" w:name="_Toc507608750"/>
      <w:r>
        <w:rPr>
          <w:rFonts w:hint="eastAsia" w:asciiTheme="minorEastAsia" w:hAnsiTheme="minorEastAsia" w:eastAsiaTheme="minorEastAsia"/>
          <w:b/>
          <w:kern w:val="0"/>
          <w:szCs w:val="21"/>
        </w:rPr>
        <w:t>八、确定中选供应商办法</w:t>
      </w:r>
      <w:bookmarkEnd w:id="48"/>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20.确定中选供应商</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20.1按符合采购需求、质量和服务，并按其评审得分由高到低顺序排列的原则，根据项目评审委员会评审出具的评审报告，最终审定中选供应商。若中选供应商不能履行合同，采购人可将合同授予顺序排名下一名的供应商，或者按规定重新组织采购。</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20.2中选供应商确定后，采购人将在指定的媒体（见《供应商须知前附表》) 上发布中选结果公告，并向中选供应商发出《中选通知书》。</w:t>
      </w:r>
    </w:p>
    <w:p>
      <w:pPr>
        <w:widowControl/>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color w:val="000000"/>
          <w:kern w:val="0"/>
          <w:szCs w:val="21"/>
        </w:rPr>
        <w:t>20.3采购人有权在中选通知发出之前任何时候接受或拒绝任何报价，对受影响的报价不承担任何责任，也无义务向受影响的磋商供应商解释采取这一行动的理由。</w:t>
      </w:r>
    </w:p>
    <w:p>
      <w:pPr>
        <w:adjustRightInd w:val="0"/>
        <w:snapToGrid w:val="0"/>
        <w:spacing w:line="360" w:lineRule="auto"/>
        <w:ind w:firstLine="420" w:firstLineChars="200"/>
        <w:outlineLvl w:val="1"/>
        <w:rPr>
          <w:rFonts w:asciiTheme="minorEastAsia" w:hAnsiTheme="minorEastAsia" w:eastAsiaTheme="minorEastAsia"/>
          <w:b/>
          <w:kern w:val="0"/>
          <w:szCs w:val="21"/>
        </w:rPr>
      </w:pPr>
      <w:bookmarkStart w:id="49" w:name="_Toc507608751"/>
      <w:r>
        <w:rPr>
          <w:rFonts w:hint="eastAsia" w:asciiTheme="minorEastAsia" w:hAnsiTheme="minorEastAsia" w:eastAsiaTheme="minorEastAsia"/>
          <w:b/>
          <w:kern w:val="0"/>
          <w:szCs w:val="21"/>
        </w:rPr>
        <w:t>九、异议和投诉</w:t>
      </w:r>
      <w:bookmarkEnd w:id="49"/>
    </w:p>
    <w:p>
      <w:pPr>
        <w:widowControl/>
        <w:autoSpaceDE w:val="0"/>
        <w:autoSpaceDN w:val="0"/>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kern w:val="0"/>
          <w:szCs w:val="21"/>
        </w:rPr>
        <w:t>21.1供应商</w:t>
      </w:r>
      <w:r>
        <w:rPr>
          <w:rFonts w:asciiTheme="minorEastAsia" w:hAnsiTheme="minorEastAsia" w:eastAsiaTheme="minorEastAsia"/>
          <w:snapToGrid w:val="0"/>
          <w:kern w:val="0"/>
          <w:szCs w:val="21"/>
        </w:rPr>
        <w:t>对磋商文件</w:t>
      </w:r>
      <w:r>
        <w:rPr>
          <w:rFonts w:hint="eastAsia" w:asciiTheme="minorEastAsia" w:hAnsiTheme="minorEastAsia" w:eastAsiaTheme="minorEastAsia"/>
          <w:snapToGrid w:val="0"/>
          <w:kern w:val="0"/>
          <w:szCs w:val="21"/>
        </w:rPr>
        <w:t>有异议</w:t>
      </w:r>
      <w:r>
        <w:rPr>
          <w:rFonts w:asciiTheme="minorEastAsia" w:hAnsiTheme="minorEastAsia" w:eastAsiaTheme="minorEastAsia"/>
          <w:snapToGrid w:val="0"/>
          <w:kern w:val="0"/>
          <w:szCs w:val="21"/>
        </w:rPr>
        <w:t>的，</w:t>
      </w:r>
      <w:r>
        <w:rPr>
          <w:rFonts w:hint="eastAsia" w:asciiTheme="minorEastAsia" w:hAnsiTheme="minorEastAsia" w:eastAsiaTheme="minorEastAsia"/>
          <w:snapToGrid w:val="0"/>
          <w:kern w:val="0"/>
          <w:szCs w:val="21"/>
        </w:rPr>
        <w:t>应在</w:t>
      </w:r>
      <w:r>
        <w:rPr>
          <w:rFonts w:asciiTheme="minorEastAsia" w:hAnsiTheme="minorEastAsia" w:eastAsiaTheme="minorEastAsia"/>
          <w:snapToGrid w:val="0"/>
          <w:kern w:val="0"/>
          <w:szCs w:val="21"/>
        </w:rPr>
        <w:t>磋商文件</w:t>
      </w:r>
      <w:r>
        <w:rPr>
          <w:rFonts w:hint="eastAsia" w:asciiTheme="minorEastAsia" w:hAnsiTheme="minorEastAsia" w:eastAsiaTheme="minorEastAsia"/>
          <w:snapToGrid w:val="0"/>
          <w:kern w:val="0"/>
          <w:szCs w:val="21"/>
        </w:rPr>
        <w:t>采购公告规定的时间前提出。</w:t>
      </w:r>
    </w:p>
    <w:p>
      <w:pPr>
        <w:widowControl/>
        <w:tabs>
          <w:tab w:val="left" w:pos="735"/>
        </w:tabs>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21.2供应商</w:t>
      </w:r>
      <w:r>
        <w:rPr>
          <w:rFonts w:asciiTheme="minorEastAsia" w:hAnsiTheme="minorEastAsia" w:eastAsiaTheme="minorEastAsia"/>
          <w:snapToGrid w:val="0"/>
          <w:kern w:val="0"/>
          <w:szCs w:val="21"/>
        </w:rPr>
        <w:t>对</w:t>
      </w:r>
      <w:r>
        <w:rPr>
          <w:rFonts w:hint="eastAsia" w:asciiTheme="minorEastAsia" w:hAnsiTheme="minorEastAsia" w:eastAsiaTheme="minorEastAsia"/>
          <w:snapToGrid w:val="0"/>
          <w:kern w:val="0"/>
          <w:szCs w:val="21"/>
        </w:rPr>
        <w:t>中选</w:t>
      </w:r>
      <w:r>
        <w:rPr>
          <w:rFonts w:asciiTheme="minorEastAsia" w:hAnsiTheme="minorEastAsia" w:eastAsiaTheme="minorEastAsia"/>
          <w:snapToGrid w:val="0"/>
          <w:kern w:val="0"/>
          <w:szCs w:val="21"/>
        </w:rPr>
        <w:t>结果</w:t>
      </w:r>
      <w:r>
        <w:rPr>
          <w:rFonts w:hint="eastAsia" w:asciiTheme="minorEastAsia" w:hAnsiTheme="minorEastAsia" w:eastAsiaTheme="minorEastAsia"/>
          <w:snapToGrid w:val="0"/>
          <w:kern w:val="0"/>
          <w:szCs w:val="21"/>
        </w:rPr>
        <w:t>有异议</w:t>
      </w:r>
      <w:r>
        <w:rPr>
          <w:rFonts w:asciiTheme="minorEastAsia" w:hAnsiTheme="minorEastAsia" w:eastAsiaTheme="minorEastAsia"/>
          <w:snapToGrid w:val="0"/>
          <w:kern w:val="0"/>
          <w:szCs w:val="21"/>
        </w:rPr>
        <w:t>的，</w:t>
      </w:r>
      <w:r>
        <w:rPr>
          <w:rFonts w:hint="eastAsia" w:asciiTheme="minorEastAsia" w:hAnsiTheme="minorEastAsia" w:eastAsiaTheme="minorEastAsia"/>
          <w:snapToGrid w:val="0"/>
          <w:kern w:val="0"/>
          <w:szCs w:val="21"/>
        </w:rPr>
        <w:t>应在中选</w:t>
      </w:r>
      <w:r>
        <w:rPr>
          <w:rFonts w:asciiTheme="minorEastAsia" w:hAnsiTheme="minorEastAsia" w:eastAsiaTheme="minorEastAsia"/>
          <w:snapToGrid w:val="0"/>
          <w:kern w:val="0"/>
          <w:szCs w:val="21"/>
        </w:rPr>
        <w:t>结果公告期限届满之日</w:t>
      </w:r>
      <w:r>
        <w:rPr>
          <w:rFonts w:hint="eastAsia" w:asciiTheme="minorEastAsia" w:hAnsiTheme="minorEastAsia" w:eastAsiaTheme="minorEastAsia"/>
          <w:snapToGrid w:val="0"/>
          <w:kern w:val="0"/>
          <w:szCs w:val="21"/>
        </w:rPr>
        <w:t>前提出</w:t>
      </w:r>
      <w:r>
        <w:rPr>
          <w:rFonts w:asciiTheme="minorEastAsia" w:hAnsiTheme="minorEastAsia" w:eastAsiaTheme="minorEastAsia"/>
          <w:snapToGrid w:val="0"/>
          <w:kern w:val="0"/>
          <w:szCs w:val="21"/>
        </w:rPr>
        <w:t>。</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21.3供应商的异议，可</w:t>
      </w:r>
      <w:r>
        <w:rPr>
          <w:rFonts w:hint="eastAsia" w:asciiTheme="minorEastAsia" w:hAnsiTheme="minorEastAsia" w:eastAsiaTheme="minorEastAsia"/>
          <w:snapToGrid w:val="0"/>
          <w:kern w:val="0"/>
          <w:szCs w:val="21"/>
        </w:rPr>
        <w:t>按采购公告中的联系方式</w:t>
      </w:r>
      <w:r>
        <w:rPr>
          <w:rFonts w:hint="eastAsia" w:asciiTheme="minorEastAsia" w:hAnsiTheme="minorEastAsia" w:eastAsiaTheme="minorEastAsia"/>
          <w:kern w:val="0"/>
          <w:szCs w:val="21"/>
        </w:rPr>
        <w:t>向采购人提出。</w:t>
      </w:r>
      <w:r>
        <w:rPr>
          <w:rFonts w:hint="eastAsia" w:asciiTheme="minorEastAsia" w:hAnsiTheme="minorEastAsia" w:eastAsiaTheme="minorEastAsia"/>
          <w:snapToGrid w:val="0"/>
          <w:kern w:val="0"/>
          <w:szCs w:val="21"/>
        </w:rPr>
        <w:t>采购人在收到供应商书面异议后，依法对异议内容作出答复。</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21.4供应商对</w:t>
      </w:r>
      <w:r>
        <w:rPr>
          <w:rFonts w:hint="eastAsia" w:asciiTheme="minorEastAsia" w:hAnsiTheme="minorEastAsia" w:eastAsiaTheme="minorEastAsia"/>
          <w:snapToGrid w:val="0"/>
          <w:kern w:val="0"/>
          <w:szCs w:val="21"/>
        </w:rPr>
        <w:t>采购人的答复不满意的，提出异议的供应商可以按《供应商须知前附表》中的联系方式向监督管理机构投诉。</w:t>
      </w:r>
      <w:r>
        <w:rPr>
          <w:rFonts w:asciiTheme="minorEastAsia" w:hAnsiTheme="minorEastAsia" w:eastAsiaTheme="minorEastAsia"/>
          <w:spacing w:val="-4"/>
          <w:kern w:val="0"/>
          <w:szCs w:val="21"/>
        </w:rPr>
        <w:t>投诉的事项不得超出已</w:t>
      </w:r>
      <w:r>
        <w:rPr>
          <w:rFonts w:hint="eastAsia" w:asciiTheme="minorEastAsia" w:hAnsiTheme="minorEastAsia" w:eastAsiaTheme="minorEastAsia"/>
          <w:spacing w:val="-4"/>
          <w:kern w:val="0"/>
          <w:szCs w:val="21"/>
        </w:rPr>
        <w:t>异议</w:t>
      </w:r>
      <w:r>
        <w:rPr>
          <w:rFonts w:asciiTheme="minorEastAsia" w:hAnsiTheme="minorEastAsia" w:eastAsiaTheme="minorEastAsia"/>
          <w:spacing w:val="-4"/>
          <w:kern w:val="0"/>
          <w:szCs w:val="21"/>
        </w:rPr>
        <w:t>事项的范围。</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21.5供应商的异议</w:t>
      </w:r>
      <w:r>
        <w:rPr>
          <w:rFonts w:hint="eastAsia" w:asciiTheme="minorEastAsia" w:hAnsiTheme="minorEastAsia" w:eastAsiaTheme="minorEastAsia"/>
          <w:spacing w:val="-4"/>
          <w:kern w:val="0"/>
          <w:szCs w:val="21"/>
        </w:rPr>
        <w:t>或投诉必须是书面的原件，并由其法定代表人或其授权代表签字并加盖供应商公章。</w:t>
      </w:r>
      <w:r>
        <w:rPr>
          <w:rFonts w:asciiTheme="minorEastAsia" w:hAnsiTheme="minorEastAsia" w:eastAsiaTheme="minorEastAsia"/>
          <w:spacing w:val="-4"/>
          <w:kern w:val="0"/>
          <w:szCs w:val="21"/>
        </w:rPr>
        <w:t>异议、投诉应当有明确的请求和必要的证明材料</w:t>
      </w:r>
      <w:r>
        <w:rPr>
          <w:rFonts w:hint="eastAsia" w:asciiTheme="minorEastAsia" w:hAnsiTheme="minorEastAsia" w:eastAsiaTheme="minorEastAsia"/>
          <w:spacing w:val="-4"/>
          <w:kern w:val="0"/>
          <w:szCs w:val="21"/>
        </w:rPr>
        <w:t>，并在规定的时间内提出</w:t>
      </w:r>
      <w:r>
        <w:rPr>
          <w:rFonts w:asciiTheme="minorEastAsia" w:hAnsiTheme="minorEastAsia" w:eastAsiaTheme="minorEastAsia"/>
          <w:spacing w:val="-4"/>
          <w:kern w:val="0"/>
          <w:szCs w:val="21"/>
        </w:rPr>
        <w:t>。</w:t>
      </w:r>
    </w:p>
    <w:p>
      <w:pPr>
        <w:adjustRightInd w:val="0"/>
        <w:snapToGrid w:val="0"/>
        <w:spacing w:line="360" w:lineRule="auto"/>
        <w:ind w:firstLine="420" w:firstLineChars="200"/>
        <w:outlineLvl w:val="1"/>
        <w:rPr>
          <w:rFonts w:asciiTheme="minorEastAsia" w:hAnsiTheme="minorEastAsia" w:eastAsiaTheme="minorEastAsia"/>
          <w:b/>
          <w:kern w:val="0"/>
          <w:szCs w:val="21"/>
        </w:rPr>
      </w:pPr>
      <w:bookmarkStart w:id="50" w:name="_Toc507608752"/>
      <w:r>
        <w:rPr>
          <w:rFonts w:hint="eastAsia" w:asciiTheme="minorEastAsia" w:hAnsiTheme="minorEastAsia" w:eastAsiaTheme="minorEastAsia"/>
          <w:b/>
          <w:kern w:val="0"/>
          <w:szCs w:val="21"/>
        </w:rPr>
        <w:t>十、签订合同</w:t>
      </w:r>
      <w:bookmarkEnd w:id="50"/>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22.中选通知书</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22.1中选结果公告发布的同时，采购人将以书面形式向</w:t>
      </w:r>
      <w:r>
        <w:rPr>
          <w:rFonts w:hint="eastAsia" w:cs="宋体" w:asciiTheme="minorEastAsia" w:hAnsiTheme="minorEastAsia" w:eastAsiaTheme="minorEastAsia"/>
          <w:kern w:val="0"/>
          <w:szCs w:val="21"/>
        </w:rPr>
        <w:t>中选供应商</w:t>
      </w:r>
      <w:r>
        <w:rPr>
          <w:rFonts w:hint="eastAsia" w:asciiTheme="minorEastAsia" w:hAnsiTheme="minorEastAsia" w:eastAsiaTheme="minorEastAsia"/>
          <w:kern w:val="0"/>
          <w:szCs w:val="21"/>
        </w:rPr>
        <w:t>发出《中选通知书》；</w:t>
      </w:r>
      <w:r>
        <w:rPr>
          <w:rFonts w:hint="eastAsia" w:cs="宋体" w:asciiTheme="minorEastAsia" w:hAnsiTheme="minorEastAsia" w:eastAsiaTheme="minorEastAsia"/>
          <w:kern w:val="0"/>
          <w:szCs w:val="21"/>
        </w:rPr>
        <w:t>中选供应商收到</w:t>
      </w:r>
      <w:r>
        <w:rPr>
          <w:rFonts w:hint="eastAsia" w:asciiTheme="minorEastAsia" w:hAnsiTheme="minorEastAsia" w:eastAsiaTheme="minorEastAsia"/>
          <w:kern w:val="0"/>
          <w:szCs w:val="21"/>
        </w:rPr>
        <w:t>《中选通知书》后须以书面形式向采购人确认。</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22.2《中选通知书》将是合同的一个组成部分，对采购人和中选供应商具有同等法律效力；《中选通知书》发出后，采购人改变中选结果，或者中选供应商放弃中选，均应承担相应的法律责任。</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23.</w:t>
      </w:r>
      <w:r>
        <w:rPr>
          <w:rFonts w:hint="eastAsia" w:asciiTheme="minorEastAsia" w:hAnsiTheme="minorEastAsia" w:eastAsiaTheme="minorEastAsia"/>
          <w:kern w:val="0"/>
          <w:szCs w:val="21"/>
        </w:rPr>
        <w:t>履约保证金</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23.1</w:t>
      </w:r>
      <w:r>
        <w:rPr>
          <w:rFonts w:asciiTheme="minorEastAsia" w:hAnsiTheme="minorEastAsia" w:eastAsiaTheme="minorEastAsia"/>
          <w:kern w:val="0"/>
          <w:szCs w:val="21"/>
        </w:rPr>
        <w:t>在签订合同前，中</w:t>
      </w:r>
      <w:r>
        <w:rPr>
          <w:rFonts w:hint="eastAsia" w:asciiTheme="minorEastAsia" w:hAnsiTheme="minorEastAsia" w:eastAsiaTheme="minorEastAsia"/>
          <w:kern w:val="0"/>
          <w:szCs w:val="21"/>
        </w:rPr>
        <w:t>选供应商</w:t>
      </w:r>
      <w:r>
        <w:rPr>
          <w:rFonts w:asciiTheme="minorEastAsia" w:hAnsiTheme="minorEastAsia" w:eastAsiaTheme="minorEastAsia"/>
          <w:kern w:val="0"/>
          <w:szCs w:val="21"/>
        </w:rPr>
        <w:t>应按</w:t>
      </w:r>
      <w:r>
        <w:rPr>
          <w:rFonts w:hint="eastAsia" w:asciiTheme="minorEastAsia" w:hAnsiTheme="minorEastAsia" w:eastAsiaTheme="minorEastAsia"/>
          <w:kern w:val="0"/>
          <w:szCs w:val="21"/>
        </w:rPr>
        <w:t>《供应商</w:t>
      </w:r>
      <w:r>
        <w:rPr>
          <w:rFonts w:asciiTheme="minorEastAsia" w:hAnsiTheme="minorEastAsia" w:eastAsiaTheme="minorEastAsia"/>
          <w:kern w:val="0"/>
          <w:szCs w:val="21"/>
        </w:rPr>
        <w:t>须知前附表</w:t>
      </w:r>
      <w:r>
        <w:rPr>
          <w:rFonts w:hint="eastAsia" w:asciiTheme="minorEastAsia" w:hAnsiTheme="minorEastAsia" w:eastAsiaTheme="minorEastAsia"/>
          <w:kern w:val="0"/>
          <w:szCs w:val="21"/>
        </w:rPr>
        <w:t>》</w:t>
      </w:r>
      <w:r>
        <w:rPr>
          <w:rFonts w:asciiTheme="minorEastAsia" w:hAnsiTheme="minorEastAsia" w:eastAsiaTheme="minorEastAsia"/>
          <w:kern w:val="0"/>
          <w:szCs w:val="21"/>
        </w:rPr>
        <w:t>规定的形式、金额和</w:t>
      </w:r>
      <w:r>
        <w:rPr>
          <w:rFonts w:hint="eastAsia" w:asciiTheme="minorEastAsia" w:hAnsiTheme="minorEastAsia" w:eastAsiaTheme="minorEastAsia"/>
          <w:kern w:val="0"/>
          <w:szCs w:val="21"/>
        </w:rPr>
        <w:t>磋商</w:t>
      </w:r>
      <w:r>
        <w:rPr>
          <w:rFonts w:asciiTheme="minorEastAsia" w:hAnsiTheme="minorEastAsia" w:eastAsiaTheme="minorEastAsia"/>
          <w:kern w:val="0"/>
          <w:szCs w:val="21"/>
        </w:rPr>
        <w:t>文件第四章“合同</w:t>
      </w:r>
      <w:r>
        <w:rPr>
          <w:rFonts w:hint="eastAsia" w:asciiTheme="minorEastAsia" w:hAnsiTheme="minorEastAsia" w:eastAsiaTheme="minorEastAsia"/>
          <w:kern w:val="0"/>
          <w:szCs w:val="21"/>
        </w:rPr>
        <w:t>书</w:t>
      </w:r>
      <w:r>
        <w:rPr>
          <w:rFonts w:asciiTheme="minorEastAsia" w:hAnsiTheme="minorEastAsia" w:eastAsiaTheme="minorEastAsia"/>
          <w:kern w:val="0"/>
          <w:szCs w:val="21"/>
        </w:rPr>
        <w:t>格式”规定的或者事先经过</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人认可的履约保证金</w:t>
      </w:r>
      <w:r>
        <w:rPr>
          <w:rFonts w:hint="eastAsia" w:asciiTheme="minorEastAsia" w:hAnsiTheme="minorEastAsia" w:eastAsiaTheme="minorEastAsia"/>
          <w:kern w:val="0"/>
          <w:szCs w:val="21"/>
        </w:rPr>
        <w:t>形式</w:t>
      </w:r>
      <w:r>
        <w:rPr>
          <w:rFonts w:asciiTheme="minorEastAsia" w:hAnsiTheme="minorEastAsia" w:eastAsiaTheme="minorEastAsia"/>
          <w:kern w:val="0"/>
          <w:szCs w:val="21"/>
        </w:rPr>
        <w:t>向</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人提交履约保证金。联合体中标的，其履约保证金以联合体各方或者联合体中牵头人的名义提交。</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23.2</w:t>
      </w:r>
      <w:r>
        <w:rPr>
          <w:rFonts w:asciiTheme="minorEastAsia" w:hAnsiTheme="minorEastAsia" w:eastAsiaTheme="minorEastAsia"/>
          <w:kern w:val="0"/>
          <w:szCs w:val="21"/>
        </w:rPr>
        <w:t>中</w:t>
      </w:r>
      <w:r>
        <w:rPr>
          <w:rFonts w:hint="eastAsia" w:asciiTheme="minorEastAsia" w:hAnsiTheme="minorEastAsia" w:eastAsiaTheme="minorEastAsia"/>
          <w:kern w:val="0"/>
          <w:szCs w:val="21"/>
        </w:rPr>
        <w:t>选供应商</w:t>
      </w:r>
      <w:r>
        <w:rPr>
          <w:rFonts w:asciiTheme="minorEastAsia" w:hAnsiTheme="minorEastAsia" w:eastAsiaTheme="minorEastAsia"/>
          <w:kern w:val="0"/>
          <w:szCs w:val="21"/>
        </w:rPr>
        <w:t>不能按本</w:t>
      </w:r>
      <w:r>
        <w:rPr>
          <w:rFonts w:hint="eastAsia" w:asciiTheme="minorEastAsia" w:hAnsiTheme="minorEastAsia" w:eastAsiaTheme="minorEastAsia"/>
          <w:kern w:val="0"/>
          <w:szCs w:val="21"/>
        </w:rPr>
        <w:t>磋商文件</w:t>
      </w:r>
      <w:r>
        <w:rPr>
          <w:rFonts w:asciiTheme="minorEastAsia" w:hAnsiTheme="minorEastAsia" w:eastAsiaTheme="minorEastAsia"/>
          <w:kern w:val="0"/>
          <w:szCs w:val="21"/>
        </w:rPr>
        <w:t>要求提交履约保证金的，视为放弃中</w:t>
      </w:r>
      <w:r>
        <w:rPr>
          <w:rFonts w:hint="eastAsia" w:asciiTheme="minorEastAsia" w:hAnsiTheme="minorEastAsia" w:eastAsiaTheme="minorEastAsia"/>
          <w:kern w:val="0"/>
          <w:szCs w:val="21"/>
        </w:rPr>
        <w:t>选</w:t>
      </w:r>
      <w:r>
        <w:rPr>
          <w:rFonts w:asciiTheme="minorEastAsia" w:hAnsiTheme="minorEastAsia" w:eastAsiaTheme="minorEastAsia"/>
          <w:kern w:val="0"/>
          <w:szCs w:val="21"/>
        </w:rPr>
        <w:t>，其</w:t>
      </w:r>
      <w:r>
        <w:rPr>
          <w:rFonts w:hint="eastAsia" w:asciiTheme="minorEastAsia" w:hAnsiTheme="minorEastAsia" w:eastAsiaTheme="minorEastAsia"/>
          <w:kern w:val="0"/>
          <w:szCs w:val="21"/>
        </w:rPr>
        <w:t>磋商</w:t>
      </w:r>
      <w:r>
        <w:rPr>
          <w:rFonts w:asciiTheme="minorEastAsia" w:hAnsiTheme="minorEastAsia" w:eastAsiaTheme="minorEastAsia"/>
          <w:kern w:val="0"/>
          <w:szCs w:val="21"/>
        </w:rPr>
        <w:t>保证金不予退还，给</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人造成的损失超过</w:t>
      </w:r>
      <w:r>
        <w:rPr>
          <w:rFonts w:hint="eastAsia" w:asciiTheme="minorEastAsia" w:hAnsiTheme="minorEastAsia" w:eastAsiaTheme="minorEastAsia"/>
          <w:kern w:val="0"/>
          <w:szCs w:val="21"/>
        </w:rPr>
        <w:t>磋商</w:t>
      </w:r>
      <w:r>
        <w:rPr>
          <w:rFonts w:asciiTheme="minorEastAsia" w:hAnsiTheme="minorEastAsia" w:eastAsiaTheme="minorEastAsia"/>
          <w:kern w:val="0"/>
          <w:szCs w:val="21"/>
        </w:rPr>
        <w:t>保证金数额的，中</w:t>
      </w:r>
      <w:r>
        <w:rPr>
          <w:rFonts w:hint="eastAsia" w:asciiTheme="minorEastAsia" w:hAnsiTheme="minorEastAsia" w:eastAsiaTheme="minorEastAsia"/>
          <w:kern w:val="0"/>
          <w:szCs w:val="21"/>
        </w:rPr>
        <w:t>选供应商</w:t>
      </w:r>
      <w:r>
        <w:rPr>
          <w:rFonts w:asciiTheme="minorEastAsia" w:hAnsiTheme="minorEastAsia" w:eastAsiaTheme="minorEastAsia"/>
          <w:kern w:val="0"/>
          <w:szCs w:val="21"/>
        </w:rPr>
        <w:t>还应当对超过部分予以赔偿。</w:t>
      </w:r>
      <w:r>
        <w:rPr>
          <w:rFonts w:hint="eastAsia" w:asciiTheme="minorEastAsia" w:hAnsiTheme="minorEastAsia" w:eastAsiaTheme="minorEastAsia"/>
          <w:kern w:val="0"/>
          <w:szCs w:val="21"/>
        </w:rPr>
        <w:t>。</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3履约担保的有效期，是从履约担保提供之日起至合同履行完毕且验收合格之日止，采购合同另有规定的从其规定。履约保证金采用转账方式提交到采购人账户的，</w:t>
      </w:r>
      <w:r>
        <w:rPr>
          <w:rFonts w:asciiTheme="minorEastAsia" w:hAnsiTheme="minorEastAsia" w:eastAsiaTheme="minorEastAsia"/>
          <w:kern w:val="0"/>
          <w:szCs w:val="21"/>
        </w:rPr>
        <w:t>中</w:t>
      </w:r>
      <w:r>
        <w:rPr>
          <w:rFonts w:hint="eastAsia" w:asciiTheme="minorEastAsia" w:hAnsiTheme="minorEastAsia" w:eastAsiaTheme="minorEastAsia"/>
          <w:kern w:val="0"/>
          <w:szCs w:val="21"/>
        </w:rPr>
        <w:t>选供应商应在担保期满后提出履约保证金退还申请，采购人在收到申请后核实满足退还条件的将在收到申请后的</w:t>
      </w:r>
      <w:r>
        <w:rPr>
          <w:rFonts w:asciiTheme="minorEastAsia" w:hAnsiTheme="minorEastAsia" w:eastAsiaTheme="minorEastAsia"/>
          <w:kern w:val="0"/>
          <w:szCs w:val="21"/>
        </w:rPr>
        <w:t xml:space="preserve"> 15个工作日</w:t>
      </w:r>
      <w:r>
        <w:rPr>
          <w:rFonts w:hint="eastAsia" w:asciiTheme="minorEastAsia" w:hAnsiTheme="minorEastAsia" w:eastAsiaTheme="minorEastAsia"/>
          <w:kern w:val="0"/>
          <w:szCs w:val="21"/>
        </w:rPr>
        <w:t>内将履约保证金退还给供应商，采购合同另有规定的从其规定。</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4采购人在对履约担保提出索赔要求之前，应书面通知供应商，说明导致此项索赔的原因，并及时向担保人提出索赔文件。担保人应按约定履行担保责任，并无须征得供应商的同意，直接向采购人支付索赔价款。</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5中选供应商应确保履约担保有效期符合工期合理顺延的要求。若中选供应商未能保证延长担保有效期，采购人可向其索赔担保的全部金额。</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24.签订合同</w:t>
      </w:r>
    </w:p>
    <w:p>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24.1</w:t>
      </w:r>
      <w:r>
        <w:rPr>
          <w:rFonts w:hint="eastAsia" w:cs="宋体" w:asciiTheme="minorEastAsia" w:hAnsiTheme="minorEastAsia" w:eastAsiaTheme="minorEastAsia"/>
          <w:kern w:val="0"/>
          <w:szCs w:val="21"/>
        </w:rPr>
        <w:t>中选供应商</w:t>
      </w:r>
      <w:r>
        <w:rPr>
          <w:rFonts w:hint="eastAsia" w:asciiTheme="minorEastAsia" w:hAnsiTheme="minorEastAsia" w:eastAsiaTheme="minorEastAsia"/>
          <w:kern w:val="0"/>
          <w:szCs w:val="21"/>
        </w:rPr>
        <w:t>在收到《中选通知书》后，应按照《中选通知书》指定的时间、地点，派遣其授权代表与采购人办理采购合同签订事宜。</w:t>
      </w:r>
      <w:r>
        <w:rPr>
          <w:rFonts w:hint="eastAsia" w:asciiTheme="minorEastAsia" w:hAnsiTheme="minorEastAsia" w:eastAsiaTheme="minorEastAsia"/>
          <w:color w:val="000000"/>
          <w:kern w:val="0"/>
          <w:szCs w:val="21"/>
        </w:rPr>
        <w:t>采购人在与中选供应商就合同条款达成一致意见后将合同授予中选供应商，中选供应商应当接受采购人提供的合同条款。采购人和中选供应商应当在中选通知书发出之日起30日内签订书面合同。</w:t>
      </w:r>
      <w:r>
        <w:rPr>
          <w:rFonts w:hint="eastAsia" w:asciiTheme="minorEastAsia" w:hAnsiTheme="minorEastAsia" w:eastAsiaTheme="minorEastAsia"/>
          <w:kern w:val="0"/>
          <w:szCs w:val="21"/>
        </w:rPr>
        <w:t>在双方签订合同后，合同自约定之日起正式生效。</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kern w:val="0"/>
          <w:szCs w:val="21"/>
        </w:rPr>
        <w:t>24.2采购人</w:t>
      </w:r>
      <w:r>
        <w:rPr>
          <w:rFonts w:asciiTheme="minorEastAsia" w:hAnsiTheme="minorEastAsia" w:eastAsiaTheme="minorEastAsia"/>
          <w:kern w:val="0"/>
          <w:szCs w:val="21"/>
        </w:rPr>
        <w:t>按</w:t>
      </w:r>
      <w:r>
        <w:rPr>
          <w:rFonts w:hint="eastAsia" w:asciiTheme="minorEastAsia" w:hAnsiTheme="minorEastAsia" w:eastAsiaTheme="minorEastAsia"/>
          <w:kern w:val="0"/>
          <w:szCs w:val="21"/>
        </w:rPr>
        <w:t>磋商文件</w:t>
      </w:r>
      <w:r>
        <w:rPr>
          <w:rFonts w:asciiTheme="minorEastAsia" w:hAnsiTheme="minorEastAsia" w:eastAsiaTheme="minorEastAsia"/>
          <w:kern w:val="0"/>
          <w:szCs w:val="21"/>
        </w:rPr>
        <w:t>要求和</w:t>
      </w:r>
      <w:r>
        <w:rPr>
          <w:rFonts w:hint="eastAsia" w:asciiTheme="minorEastAsia" w:hAnsiTheme="minorEastAsia" w:eastAsiaTheme="minorEastAsia"/>
          <w:kern w:val="0"/>
          <w:szCs w:val="21"/>
        </w:rPr>
        <w:t>中选供应商的响应文件</w:t>
      </w:r>
      <w:r>
        <w:rPr>
          <w:rFonts w:asciiTheme="minorEastAsia" w:hAnsiTheme="minorEastAsia" w:eastAsiaTheme="minorEastAsia"/>
          <w:kern w:val="0"/>
          <w:szCs w:val="21"/>
        </w:rPr>
        <w:t>承诺签订</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合同，但不得超出</w:t>
      </w:r>
      <w:r>
        <w:rPr>
          <w:rFonts w:hint="eastAsia" w:asciiTheme="minorEastAsia" w:hAnsiTheme="minorEastAsia" w:eastAsiaTheme="minorEastAsia"/>
          <w:kern w:val="0"/>
          <w:szCs w:val="21"/>
        </w:rPr>
        <w:t>磋商文件</w:t>
      </w:r>
      <w:r>
        <w:rPr>
          <w:rFonts w:asciiTheme="minorEastAsia" w:hAnsiTheme="minorEastAsia" w:eastAsiaTheme="minorEastAsia"/>
          <w:kern w:val="0"/>
          <w:szCs w:val="21"/>
        </w:rPr>
        <w:t>要求和</w:t>
      </w:r>
      <w:r>
        <w:rPr>
          <w:rFonts w:hint="eastAsia" w:asciiTheme="minorEastAsia" w:hAnsiTheme="minorEastAsia" w:eastAsiaTheme="minorEastAsia"/>
          <w:kern w:val="0"/>
          <w:szCs w:val="21"/>
        </w:rPr>
        <w:t>中选供应商的响应文件</w:t>
      </w:r>
      <w:r>
        <w:rPr>
          <w:rFonts w:asciiTheme="minorEastAsia" w:hAnsiTheme="minorEastAsia" w:eastAsiaTheme="minorEastAsia"/>
          <w:kern w:val="0"/>
          <w:szCs w:val="21"/>
        </w:rPr>
        <w:t>的范围、也不得再行订立背离合同实质性内容的其他协议</w:t>
      </w:r>
      <w:r>
        <w:rPr>
          <w:rFonts w:hint="eastAsia" w:asciiTheme="minorEastAsia" w:hAnsiTheme="minorEastAsia" w:eastAsiaTheme="minorEastAsia"/>
          <w:kern w:val="0"/>
          <w:szCs w:val="21"/>
        </w:rPr>
        <w:t>。</w:t>
      </w:r>
      <w:r>
        <w:rPr>
          <w:rFonts w:hint="eastAsia" w:asciiTheme="minorEastAsia" w:hAnsiTheme="minorEastAsia" w:eastAsiaTheme="minorEastAsia"/>
          <w:b/>
          <w:kern w:val="0"/>
          <w:szCs w:val="21"/>
        </w:rPr>
        <w:t>合同签订时，中选供应商应使用在广发银行开立的结算账户与采购人进行本项目的结算。</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24.</w:t>
      </w:r>
      <w:r>
        <w:rPr>
          <w:rFonts w:hint="eastAsia" w:asciiTheme="minorEastAsia" w:hAnsiTheme="minorEastAsia" w:eastAsiaTheme="minorEastAsia"/>
          <w:kern w:val="0"/>
          <w:szCs w:val="21"/>
        </w:rPr>
        <w:t>3中选供应商无正当理由拒签合同，在签订合同时向采购人提出附加条件，或者不按照磋商文件要求提交履约保证金的，采购人有权取消其中选资格，其磋商保证金不予退还；给采购人造成的损失超过磋商保证金数额的，中选供应商还应当对超过部分予以赔偿。</w:t>
      </w:r>
      <w:r>
        <w:rPr>
          <w:rFonts w:asciiTheme="minorEastAsia" w:hAnsiTheme="minorEastAsia" w:eastAsiaTheme="minorEastAsia"/>
          <w:kern w:val="0"/>
          <w:szCs w:val="21"/>
        </w:rPr>
        <w:t>发出中</w:t>
      </w:r>
      <w:r>
        <w:rPr>
          <w:rFonts w:hint="eastAsia" w:asciiTheme="minorEastAsia" w:hAnsiTheme="minorEastAsia" w:eastAsiaTheme="minorEastAsia"/>
          <w:kern w:val="0"/>
          <w:szCs w:val="21"/>
        </w:rPr>
        <w:t>选</w:t>
      </w:r>
      <w:r>
        <w:rPr>
          <w:rFonts w:asciiTheme="minorEastAsia" w:hAnsiTheme="minorEastAsia" w:eastAsiaTheme="minorEastAsia"/>
          <w:kern w:val="0"/>
          <w:szCs w:val="21"/>
        </w:rPr>
        <w:t>通知书后，</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人无正当理由拒签合同，或者在签订合同时向</w:t>
      </w:r>
      <w:r>
        <w:rPr>
          <w:rFonts w:hint="eastAsia" w:asciiTheme="minorEastAsia" w:hAnsiTheme="minorEastAsia" w:eastAsiaTheme="minorEastAsia"/>
          <w:kern w:val="0"/>
          <w:szCs w:val="21"/>
        </w:rPr>
        <w:t>中选供应商</w:t>
      </w:r>
      <w:r>
        <w:rPr>
          <w:rFonts w:asciiTheme="minorEastAsia" w:hAnsiTheme="minorEastAsia" w:eastAsiaTheme="minorEastAsia"/>
          <w:kern w:val="0"/>
          <w:szCs w:val="21"/>
        </w:rPr>
        <w:t>提出附加条件的，</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人向</w:t>
      </w:r>
      <w:r>
        <w:rPr>
          <w:rFonts w:hint="eastAsia" w:asciiTheme="minorEastAsia" w:hAnsiTheme="minorEastAsia" w:eastAsiaTheme="minorEastAsia"/>
          <w:kern w:val="0"/>
          <w:szCs w:val="21"/>
        </w:rPr>
        <w:t>中选供应商</w:t>
      </w:r>
      <w:r>
        <w:rPr>
          <w:rFonts w:asciiTheme="minorEastAsia" w:hAnsiTheme="minorEastAsia" w:eastAsiaTheme="minorEastAsia"/>
          <w:kern w:val="0"/>
          <w:szCs w:val="21"/>
        </w:rPr>
        <w:t>退还</w:t>
      </w:r>
      <w:r>
        <w:rPr>
          <w:rFonts w:hint="eastAsia" w:asciiTheme="minorEastAsia" w:hAnsiTheme="minorEastAsia" w:eastAsiaTheme="minorEastAsia"/>
          <w:kern w:val="0"/>
          <w:szCs w:val="21"/>
        </w:rPr>
        <w:t>磋商</w:t>
      </w:r>
      <w:r>
        <w:rPr>
          <w:rFonts w:asciiTheme="minorEastAsia" w:hAnsiTheme="minorEastAsia" w:eastAsiaTheme="minorEastAsia"/>
          <w:kern w:val="0"/>
          <w:szCs w:val="21"/>
        </w:rPr>
        <w:t>保证金；给</w:t>
      </w:r>
      <w:r>
        <w:rPr>
          <w:rFonts w:hint="eastAsia" w:asciiTheme="minorEastAsia" w:hAnsiTheme="minorEastAsia" w:eastAsiaTheme="minorEastAsia"/>
          <w:kern w:val="0"/>
          <w:szCs w:val="21"/>
        </w:rPr>
        <w:t>中选供应商</w:t>
      </w:r>
      <w:r>
        <w:rPr>
          <w:rFonts w:asciiTheme="minorEastAsia" w:hAnsiTheme="minorEastAsia" w:eastAsiaTheme="minorEastAsia"/>
          <w:kern w:val="0"/>
          <w:szCs w:val="21"/>
        </w:rPr>
        <w:t>造成损失的，</w:t>
      </w:r>
      <w:r>
        <w:rPr>
          <w:rFonts w:hint="eastAsia" w:asciiTheme="minorEastAsia" w:hAnsiTheme="minorEastAsia" w:eastAsiaTheme="minorEastAsia"/>
          <w:kern w:val="0"/>
          <w:szCs w:val="21"/>
        </w:rPr>
        <w:t>相应</w:t>
      </w:r>
      <w:r>
        <w:rPr>
          <w:rFonts w:asciiTheme="minorEastAsia" w:hAnsiTheme="minorEastAsia" w:eastAsiaTheme="minorEastAsia"/>
          <w:kern w:val="0"/>
          <w:szCs w:val="21"/>
        </w:rPr>
        <w:t>赔偿损失。</w:t>
      </w:r>
    </w:p>
    <w:p>
      <w:pPr>
        <w:adjustRightInd w:val="0"/>
        <w:snapToGrid w:val="0"/>
        <w:spacing w:line="360" w:lineRule="auto"/>
        <w:ind w:firstLine="420" w:firstLineChars="200"/>
        <w:outlineLvl w:val="1"/>
        <w:rPr>
          <w:rFonts w:asciiTheme="minorEastAsia" w:hAnsiTheme="minorEastAsia" w:eastAsiaTheme="minorEastAsia"/>
          <w:b/>
          <w:kern w:val="0"/>
          <w:szCs w:val="21"/>
        </w:rPr>
      </w:pPr>
      <w:r>
        <w:rPr>
          <w:rFonts w:hint="eastAsia" w:asciiTheme="minorEastAsia" w:hAnsiTheme="minorEastAsia" w:eastAsiaTheme="minorEastAsia"/>
          <w:b/>
          <w:kern w:val="0"/>
          <w:szCs w:val="21"/>
        </w:rPr>
        <w:t>十一、供应商不良行为处理</w:t>
      </w:r>
    </w:p>
    <w:p>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供应商的不良行为，是指供应商违反诚信原则，在参与采购过程中扰乱正常采购组织秩序，以弄虚作假、恶意欺诈、围标串标等不正当手段谋取利益，或无正当理由不按照合同履约等违反法律法规和采购人规章制度的行为。供应商不良行为按其性质和严重程度划分为一般不良行为、较大不良行为及重大不良行为，对应给予的惩罚措施包括警告、禁止和我行采购合作（简称“禁入”）、永久禁入等。如果供应商出现不良行为，不良行为的等级和惩罚措施由采购人评估认定后通知供应商并在采购公告发布的平台进行公告。</w:t>
      </w:r>
    </w:p>
    <w:bookmarkEnd w:id="33"/>
    <w:bookmarkEnd w:id="34"/>
    <w:p>
      <w:pPr>
        <w:pStyle w:val="2"/>
        <w:keepNext w:val="0"/>
        <w:keepLines w:val="0"/>
        <w:spacing w:line="360" w:lineRule="auto"/>
      </w:pPr>
      <w:r>
        <w:rPr>
          <w:b w:val="0"/>
        </w:rPr>
        <w:br w:type="page"/>
      </w:r>
      <w:bookmarkStart w:id="51" w:name="_Toc296006334"/>
      <w:bookmarkStart w:id="52" w:name="_Toc296006404"/>
      <w:bookmarkStart w:id="53" w:name="_Toc363145067"/>
      <w:bookmarkStart w:id="54" w:name="_Toc456340606"/>
      <w:bookmarkStart w:id="55" w:name="_Toc420071769"/>
      <w:bookmarkStart w:id="56" w:name="_Toc363145529"/>
      <w:bookmarkStart w:id="57" w:name="_Toc363145646"/>
      <w:bookmarkStart w:id="58" w:name="_Toc296003022"/>
      <w:bookmarkStart w:id="59" w:name="_Toc507608753"/>
      <w:r>
        <w:rPr>
          <w:rFonts w:hint="eastAsia"/>
        </w:rPr>
        <w:t>第三部分</w:t>
      </w:r>
      <w:bookmarkEnd w:id="51"/>
      <w:bookmarkEnd w:id="52"/>
      <w:bookmarkEnd w:id="53"/>
      <w:bookmarkEnd w:id="54"/>
      <w:bookmarkEnd w:id="55"/>
      <w:bookmarkEnd w:id="56"/>
      <w:bookmarkEnd w:id="57"/>
      <w:bookmarkEnd w:id="58"/>
      <w:bookmarkStart w:id="60" w:name="_Toc420071770"/>
      <w:bookmarkStart w:id="61" w:name="_Toc456340607"/>
      <w:bookmarkStart w:id="62" w:name="_Toc363145647"/>
      <w:bookmarkStart w:id="63" w:name="_Toc363145530"/>
      <w:bookmarkStart w:id="64" w:name="_Toc296006405"/>
      <w:bookmarkStart w:id="65" w:name="_Toc296006335"/>
      <w:bookmarkStart w:id="66" w:name="_Toc363145068"/>
      <w:bookmarkStart w:id="67" w:name="_Toc296003023"/>
      <w:r>
        <w:rPr>
          <w:rFonts w:hint="eastAsia"/>
        </w:rPr>
        <w:t xml:space="preserve"> 用户需求书</w:t>
      </w:r>
      <w:bookmarkEnd w:id="59"/>
      <w:bookmarkEnd w:id="60"/>
      <w:bookmarkEnd w:id="61"/>
    </w:p>
    <w:p>
      <w:pPr>
        <w:spacing w:line="360" w:lineRule="auto"/>
        <w:ind w:firstLine="420" w:firstLineChars="200"/>
        <w:outlineLvl w:val="1"/>
        <w:rPr>
          <w:rFonts w:ascii="宋体" w:hAnsi="宋体"/>
          <w:b/>
          <w:szCs w:val="21"/>
        </w:rPr>
      </w:pPr>
      <w:r>
        <w:rPr>
          <w:rFonts w:hint="eastAsia" w:ascii="宋体" w:hAnsi="宋体"/>
          <w:b/>
          <w:szCs w:val="21"/>
        </w:rPr>
        <w:t>一、项目背景</w:t>
      </w:r>
    </w:p>
    <w:p>
      <w:pPr>
        <w:spacing w:line="360" w:lineRule="auto"/>
        <w:ind w:firstLine="420" w:firstLineChars="200"/>
        <w:rPr>
          <w:rFonts w:ascii="宋体" w:hAnsi="宋体"/>
          <w:szCs w:val="21"/>
        </w:rPr>
      </w:pPr>
      <w:r>
        <w:rPr>
          <w:rFonts w:hint="eastAsia" w:ascii="宋体" w:hAnsi="宋体"/>
          <w:szCs w:val="21"/>
        </w:rPr>
        <w:t>为维护企业声誉，防范和应对敏感舆情，统筹并加强全行舆情监测工作，广发银行股份有限公司（下简称“采购人”）拟通过集中采购确定1家中选供应商，由其对全国重点媒体（平面、广电、网络、自媒体）开展新闻舆情监测工作，加大声誉风险管理和防控力度，维护采购人的良好品牌。</w:t>
      </w:r>
    </w:p>
    <w:p>
      <w:pPr>
        <w:spacing w:line="360" w:lineRule="auto"/>
        <w:ind w:firstLine="420" w:firstLineChars="200"/>
        <w:outlineLvl w:val="1"/>
        <w:rPr>
          <w:rFonts w:ascii="宋体" w:hAnsi="宋体"/>
          <w:b/>
          <w:szCs w:val="21"/>
        </w:rPr>
      </w:pPr>
      <w:r>
        <w:rPr>
          <w:rFonts w:hint="eastAsia" w:ascii="宋体" w:hAnsi="宋体"/>
          <w:b/>
          <w:szCs w:val="21"/>
        </w:rPr>
        <w:t>二、采购内容</w:t>
      </w:r>
    </w:p>
    <w:p>
      <w:pPr>
        <w:spacing w:line="360" w:lineRule="auto"/>
        <w:ind w:firstLine="420" w:firstLineChars="200"/>
        <w:rPr>
          <w:rFonts w:ascii="宋体" w:hAnsi="宋体"/>
        </w:rPr>
      </w:pPr>
      <w:r>
        <w:rPr>
          <w:rFonts w:hint="eastAsia" w:ascii="宋体" w:hAnsi="宋体"/>
          <w:b/>
          <w:bCs/>
          <w:kern w:val="44"/>
        </w:rPr>
        <w:t>2.1服务内容：</w:t>
      </w:r>
      <w:r>
        <w:rPr>
          <w:rFonts w:hint="eastAsia" w:ascii="宋体" w:hAnsi="宋体"/>
        </w:rPr>
        <w:t>满足采购人新闻舆情监测的需求，提供舆情监测、舆情报告、舆情预警、舆情分析、舆情统计等服务。</w:t>
      </w:r>
    </w:p>
    <w:p>
      <w:pPr>
        <w:spacing w:line="360" w:lineRule="auto"/>
        <w:ind w:firstLine="420" w:firstLineChars="200"/>
        <w:rPr>
          <w:rFonts w:ascii="宋体" w:hAnsi="宋体"/>
          <w:szCs w:val="21"/>
        </w:rPr>
      </w:pPr>
      <w:r>
        <w:rPr>
          <w:rFonts w:hint="eastAsia" w:ascii="宋体" w:hAnsi="宋体"/>
          <w:b/>
          <w:bCs/>
          <w:kern w:val="44"/>
        </w:rPr>
        <w:t>2.2服务期限：</w:t>
      </w:r>
      <w:r>
        <w:rPr>
          <w:rFonts w:hint="eastAsia" w:ascii="宋体" w:hAnsi="宋体"/>
          <w:b/>
          <w:bCs/>
        </w:rPr>
        <w:t>自合同签订之日起一年。</w:t>
      </w:r>
    </w:p>
    <w:p>
      <w:pPr>
        <w:spacing w:line="360" w:lineRule="auto"/>
        <w:ind w:firstLine="420" w:firstLineChars="200"/>
        <w:outlineLvl w:val="1"/>
        <w:rPr>
          <w:rFonts w:ascii="宋体" w:hAnsi="宋体"/>
          <w:b/>
          <w:szCs w:val="21"/>
        </w:rPr>
      </w:pPr>
      <w:r>
        <w:rPr>
          <w:rFonts w:hint="eastAsia" w:ascii="宋体" w:hAnsi="宋体"/>
          <w:b/>
          <w:szCs w:val="21"/>
        </w:rPr>
        <w:t>三、项目要求</w:t>
      </w:r>
    </w:p>
    <w:p>
      <w:pPr>
        <w:spacing w:line="360" w:lineRule="auto"/>
        <w:ind w:firstLine="420" w:firstLineChars="200"/>
        <w:rPr>
          <w:rFonts w:ascii="宋体" w:hAnsi="宋体"/>
        </w:rPr>
      </w:pPr>
      <w:r>
        <w:rPr>
          <w:rFonts w:hint="eastAsia" w:ascii="宋体" w:hAnsi="宋体"/>
        </w:rPr>
        <w:t>供应商须提供以下</w:t>
      </w:r>
      <w:r>
        <w:rPr>
          <w:rFonts w:hint="eastAsia" w:ascii="宋体" w:hAnsi="宋体"/>
          <w:b/>
          <w:szCs w:val="21"/>
        </w:rPr>
        <w:t>新闻舆情监测</w:t>
      </w:r>
      <w:r>
        <w:rPr>
          <w:rFonts w:hint="eastAsia" w:ascii="宋体" w:hAnsi="宋体"/>
        </w:rPr>
        <w:t>服务：</w:t>
      </w:r>
    </w:p>
    <w:p>
      <w:pPr>
        <w:spacing w:line="360" w:lineRule="auto"/>
        <w:ind w:firstLine="420" w:firstLineChars="200"/>
        <w:rPr>
          <w:rFonts w:ascii="宋体" w:hAnsi="宋体"/>
          <w:szCs w:val="21"/>
        </w:rPr>
      </w:pPr>
      <w:r>
        <w:rPr>
          <w:rFonts w:hint="eastAsia" w:ascii="宋体" w:hAnsi="宋体"/>
          <w:szCs w:val="21"/>
        </w:rPr>
        <w:t>3.1 提供7*24舆情监测服务，涵盖所有工作日和周末、节假日。覆盖全网媒体，媒体包括但不限于：报纸、电视、广播、杂志、网站、论坛、微博微信等各类自媒体平台、新闻客户端等。</w:t>
      </w:r>
    </w:p>
    <w:p>
      <w:pPr>
        <w:spacing w:line="360" w:lineRule="auto"/>
        <w:ind w:firstLine="420" w:firstLineChars="200"/>
        <w:rPr>
          <w:rFonts w:ascii="宋体" w:hAnsi="宋体"/>
          <w:szCs w:val="21"/>
        </w:rPr>
      </w:pPr>
      <w:r>
        <w:rPr>
          <w:rFonts w:hint="eastAsia" w:ascii="宋体" w:hAnsi="宋体"/>
          <w:szCs w:val="21"/>
        </w:rPr>
        <w:t>3.2  针对采购人负面舆情提供实时预警和专项定制化预警服务。监测分行所辖地区地方性媒体的敏感舆情，对分行定期报送的敏感词进行监测。提供采购人各条线、各分行的正面新闻报道监测。</w:t>
      </w:r>
    </w:p>
    <w:p>
      <w:pPr>
        <w:spacing w:line="360" w:lineRule="auto"/>
        <w:ind w:firstLine="420" w:firstLineChars="200"/>
        <w:rPr>
          <w:rFonts w:ascii="宋体" w:hAnsi="宋体"/>
          <w:szCs w:val="21"/>
        </w:rPr>
      </w:pPr>
      <w:r>
        <w:rPr>
          <w:rFonts w:hint="eastAsia" w:ascii="宋体" w:hAnsi="宋体"/>
          <w:szCs w:val="21"/>
        </w:rPr>
        <w:t>3.3 加强舆情研判和分析，形成相关报告。按要求提供采购人每日舆情报告、银行同业每周舆情报告、采购人和同业每月舆情统计分析、以及半年度和全年采购人舆情总结分析。每次专项活动结束，按采购人要求的格式提交专项活动新闻传播报告。定期主动形成专项（如金融新政策出台、两会等重要特殊时点）舆情分析报告等。</w:t>
      </w:r>
    </w:p>
    <w:p>
      <w:pPr>
        <w:spacing w:line="360" w:lineRule="auto"/>
        <w:ind w:firstLine="420" w:firstLineChars="200"/>
        <w:rPr>
          <w:rFonts w:ascii="宋体" w:hAnsi="宋体"/>
          <w:szCs w:val="21"/>
        </w:rPr>
      </w:pPr>
      <w:r>
        <w:rPr>
          <w:rFonts w:hint="eastAsia" w:ascii="宋体" w:hAnsi="宋体"/>
          <w:szCs w:val="21"/>
        </w:rPr>
        <w:t>3.4 及时响应重大声誉风险事件的监测需求，包括但不限于快报、专报，提供舆情趋势预判分析、提出处置策略等。</w:t>
      </w:r>
    </w:p>
    <w:p>
      <w:pPr>
        <w:spacing w:line="360" w:lineRule="auto"/>
        <w:ind w:firstLine="420" w:firstLineChars="200"/>
        <w:rPr>
          <w:rFonts w:ascii="宋体" w:hAnsi="宋体"/>
          <w:szCs w:val="21"/>
        </w:rPr>
      </w:pPr>
      <w:r>
        <w:rPr>
          <w:rFonts w:hint="eastAsia" w:ascii="宋体" w:hAnsi="宋体"/>
          <w:szCs w:val="21"/>
        </w:rPr>
        <w:t>3.5 监测总分行各级机构设立的自媒体账号（如总分行的微信公众号、微博等）发布的文章情况。</w:t>
      </w:r>
    </w:p>
    <w:p>
      <w:pPr>
        <w:spacing w:line="360" w:lineRule="auto"/>
        <w:ind w:firstLine="420" w:firstLineChars="200"/>
        <w:rPr>
          <w:rFonts w:ascii="宋体" w:hAnsi="宋体"/>
          <w:szCs w:val="21"/>
        </w:rPr>
      </w:pPr>
      <w:r>
        <w:rPr>
          <w:rFonts w:hint="eastAsia" w:ascii="宋体" w:hAnsi="宋体"/>
          <w:szCs w:val="21"/>
        </w:rPr>
        <w:t>3.6 监测采购人特定合作机构(不超过150个)的舆情信息。</w:t>
      </w:r>
    </w:p>
    <w:p>
      <w:pPr>
        <w:spacing w:line="360" w:lineRule="auto"/>
        <w:ind w:firstLine="420" w:firstLineChars="200"/>
        <w:rPr>
          <w:rFonts w:ascii="宋体" w:hAnsi="宋体"/>
          <w:szCs w:val="21"/>
        </w:rPr>
      </w:pPr>
      <w:r>
        <w:rPr>
          <w:rFonts w:hint="eastAsia" w:ascii="宋体" w:hAnsi="宋体"/>
          <w:szCs w:val="21"/>
        </w:rPr>
        <w:t>3.7 提供多渠道的舆情报送服务，包括但不限于邮件、短信、微信、电话等形式。为我行提供移动互联网形式的舆情动态趋势统计分析 ，包括但不限于特定时间内对特定舆情报道媒体量变化进行统计等。</w:t>
      </w:r>
    </w:p>
    <w:p>
      <w:pPr>
        <w:spacing w:line="360" w:lineRule="auto"/>
        <w:ind w:firstLine="420" w:firstLineChars="200"/>
        <w:rPr>
          <w:szCs w:val="21"/>
        </w:rPr>
      </w:pPr>
      <w:r>
        <w:rPr>
          <w:rFonts w:hint="eastAsia" w:ascii="宋体" w:hAnsi="宋体"/>
          <w:szCs w:val="21"/>
        </w:rPr>
        <w:t>3.8</w:t>
      </w:r>
      <w:r>
        <w:rPr>
          <w:rFonts w:hint="eastAsia"/>
          <w:szCs w:val="21"/>
        </w:rPr>
        <w:t>供应商应具备常驻北京或华南地区的专职团队。</w:t>
      </w:r>
    </w:p>
    <w:p>
      <w:pPr>
        <w:spacing w:line="360" w:lineRule="auto"/>
        <w:ind w:firstLine="420" w:firstLineChars="200"/>
        <w:rPr>
          <w:szCs w:val="21"/>
        </w:rPr>
      </w:pPr>
      <w:r>
        <w:rPr>
          <w:rFonts w:hint="eastAsia" w:ascii="宋体" w:hAnsi="宋体"/>
          <w:szCs w:val="21"/>
        </w:rPr>
        <w:t>3.9供应商应具备丰富的舆情监测服务经验，具有完善的舆情监测技术系统和资深的人工筛查、分析</w:t>
      </w:r>
      <w:r>
        <w:rPr>
          <w:rFonts w:hint="eastAsia"/>
          <w:szCs w:val="21"/>
        </w:rPr>
        <w:t>、研判团队。</w:t>
      </w:r>
    </w:p>
    <w:p>
      <w:pPr>
        <w:spacing w:line="360" w:lineRule="auto"/>
        <w:ind w:firstLine="420" w:firstLineChars="200"/>
        <w:outlineLvl w:val="1"/>
        <w:rPr>
          <w:b/>
          <w:szCs w:val="21"/>
        </w:rPr>
      </w:pPr>
      <w:r>
        <w:rPr>
          <w:rFonts w:hint="eastAsia"/>
          <w:b/>
          <w:szCs w:val="21"/>
        </w:rPr>
        <w:t>四、项目团队人员要求</w:t>
      </w:r>
    </w:p>
    <w:p>
      <w:pPr>
        <w:spacing w:line="360" w:lineRule="auto"/>
        <w:ind w:firstLine="420" w:firstLineChars="200"/>
        <w:rPr>
          <w:rFonts w:ascii="宋体" w:hAnsi="宋体"/>
          <w:szCs w:val="21"/>
        </w:rPr>
      </w:pPr>
      <w:r>
        <w:rPr>
          <w:rFonts w:hint="eastAsia" w:ascii="宋体" w:hAnsi="宋体"/>
          <w:szCs w:val="21"/>
        </w:rPr>
        <w:t>4.1 提供固定、专业的团队为采购人提供专属服务。合同期间未经允许，不得随意更换团队核心成员。</w:t>
      </w:r>
    </w:p>
    <w:p>
      <w:pPr>
        <w:snapToGrid w:val="0"/>
        <w:spacing w:line="360" w:lineRule="auto"/>
        <w:ind w:firstLine="420" w:firstLineChars="200"/>
        <w:rPr>
          <w:rFonts w:ascii="宋体" w:hAnsi="宋体"/>
          <w:szCs w:val="21"/>
        </w:rPr>
      </w:pPr>
      <w:r>
        <w:rPr>
          <w:rFonts w:hint="eastAsia" w:ascii="宋体" w:hAnsi="宋体"/>
          <w:szCs w:val="21"/>
        </w:rPr>
        <w:t>★4.2如中选，供应商须承诺提供服务的团队在合同有效期内不得为采购人的竞争对手提供舆情监测服务。备注：如中选供应商同时为其他股份制银行提供舆情监测服务，必须确保为采购人服务的团队不得参与其他股份制银行的舆情监测工作。</w:t>
      </w:r>
    </w:p>
    <w:p>
      <w:pPr>
        <w:spacing w:line="360" w:lineRule="auto"/>
        <w:ind w:firstLine="420" w:firstLineChars="200"/>
        <w:rPr>
          <w:rFonts w:ascii="宋体" w:hAnsi="宋体"/>
          <w:b/>
          <w:szCs w:val="21"/>
        </w:rPr>
      </w:pPr>
      <w:r>
        <w:rPr>
          <w:rFonts w:hint="eastAsia" w:ascii="宋体" w:hAnsi="宋体"/>
          <w:szCs w:val="21"/>
        </w:rPr>
        <w:t>4.3 服务团队成员要求（建议下表人员均参加本项目磋商会议进行方案陈述）：</w:t>
      </w:r>
    </w:p>
    <w:tbl>
      <w:tblPr>
        <w:tblStyle w:val="74"/>
        <w:tblW w:w="7953" w:type="dxa"/>
        <w:tblInd w:w="93" w:type="dxa"/>
        <w:tblLayout w:type="fixed"/>
        <w:tblCellMar>
          <w:top w:w="0" w:type="dxa"/>
          <w:left w:w="108" w:type="dxa"/>
          <w:bottom w:w="0" w:type="dxa"/>
          <w:right w:w="108" w:type="dxa"/>
        </w:tblCellMar>
      </w:tblPr>
      <w:tblGrid>
        <w:gridCol w:w="1960"/>
        <w:gridCol w:w="1960"/>
        <w:gridCol w:w="700"/>
        <w:gridCol w:w="1900"/>
        <w:gridCol w:w="1433"/>
      </w:tblGrid>
      <w:tr>
        <w:tblPrEx>
          <w:tblLayout w:type="fixed"/>
        </w:tblPrEx>
        <w:trPr>
          <w:trHeight w:val="615" w:hRule="atLeast"/>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团队角色</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人员在供应商任职参考职位/级别</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人数要求</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从业年限与资质要求</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服务本项目时间占比</w:t>
            </w:r>
          </w:p>
        </w:tc>
      </w:tr>
      <w:tr>
        <w:tblPrEx>
          <w:tblLayout w:type="fixed"/>
        </w:tblPrEx>
        <w:trPr>
          <w:trHeight w:val="1890"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总经理/副总经理</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包括中国区执行总裁、执行总裁等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具备12年或以上舆情监测、公关传播或网络传播数据分析工作经验，有媒体、金融从业经验者优先。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15%或以上</w:t>
            </w:r>
          </w:p>
        </w:tc>
      </w:tr>
      <w:tr>
        <w:tblPrEx>
          <w:tblLayout w:type="fixed"/>
        </w:tblPrEx>
        <w:trPr>
          <w:trHeight w:val="1890"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总监</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包括副总裁/高级项目总监、项目总监等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具备8年或以上舆情监测、公关传播或网络传播数据分析工作经验，有媒体、金融从业经验者优先。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30%或以上</w:t>
            </w:r>
          </w:p>
        </w:tc>
      </w:tr>
      <w:tr>
        <w:tblPrEx>
          <w:tblLayout w:type="fixed"/>
        </w:tblPrEx>
        <w:trPr>
          <w:trHeight w:val="1890"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客户经理</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包括高级项目经理、项目经理、高级项目主管等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具备5年或以上舆情监测、公关传播或网络传播数据分析工作经验，有媒体、金融行业服务经验者优先。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50%或以上</w:t>
            </w:r>
          </w:p>
        </w:tc>
      </w:tr>
      <w:tr>
        <w:tblPrEx>
          <w:tblLayout w:type="fixed"/>
        </w:tblPrEx>
        <w:trPr>
          <w:trHeight w:val="1080" w:hRule="atLeast"/>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执行专员、技术人员</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1一2</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具备2年或以上舆情监测、公关传播或网络传播数据分析工作经。</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50%或以上</w:t>
            </w:r>
          </w:p>
        </w:tc>
      </w:tr>
      <w:tr>
        <w:tblPrEx>
          <w:tblLayout w:type="fixed"/>
        </w:tblPrEx>
        <w:trPr>
          <w:trHeight w:val="270" w:hRule="atLeast"/>
        </w:trPr>
        <w:tc>
          <w:tcPr>
            <w:tcW w:w="79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注：服务本项目时间占比为每日工作时间百分比，截至项目完成。</w:t>
            </w:r>
          </w:p>
        </w:tc>
      </w:tr>
    </w:tbl>
    <w:p>
      <w:pPr>
        <w:spacing w:line="360" w:lineRule="auto"/>
        <w:ind w:firstLine="420" w:firstLineChars="200"/>
        <w:outlineLvl w:val="1"/>
        <w:rPr>
          <w:b/>
          <w:szCs w:val="21"/>
        </w:rPr>
      </w:pPr>
      <w:r>
        <w:rPr>
          <w:rFonts w:hint="eastAsia"/>
          <w:b/>
          <w:szCs w:val="21"/>
        </w:rPr>
        <w:t>五、项目策划方案</w:t>
      </w:r>
    </w:p>
    <w:p>
      <w:pPr>
        <w:spacing w:line="360" w:lineRule="auto"/>
        <w:ind w:firstLine="420" w:firstLineChars="200"/>
        <w:rPr>
          <w:rFonts w:ascii="宋体" w:hAnsi="宋体"/>
          <w:szCs w:val="21"/>
        </w:rPr>
      </w:pPr>
      <w:r>
        <w:rPr>
          <w:rFonts w:hint="eastAsia" w:ascii="宋体" w:hAnsi="宋体"/>
          <w:szCs w:val="21"/>
        </w:rPr>
        <w:t>供应商须提供以下舆情监测及分析报告：</w:t>
      </w:r>
    </w:p>
    <w:p>
      <w:pPr>
        <w:spacing w:line="360" w:lineRule="auto"/>
        <w:ind w:firstLine="420" w:firstLineChars="200"/>
        <w:rPr>
          <w:rFonts w:ascii="宋体" w:hAnsi="宋体"/>
          <w:bCs/>
          <w:szCs w:val="21"/>
        </w:rPr>
      </w:pPr>
      <w:r>
        <w:rPr>
          <w:rFonts w:hint="eastAsia" w:ascii="宋体" w:hAnsi="宋体"/>
          <w:szCs w:val="21"/>
        </w:rPr>
        <w:t>★</w:t>
      </w:r>
      <w:r>
        <w:rPr>
          <w:rFonts w:hint="eastAsia" w:ascii="宋体" w:hAnsi="宋体"/>
          <w:bCs/>
          <w:szCs w:val="21"/>
        </w:rPr>
        <w:t>5.1提供最近一周采购人的舆情监测报告（以本项目报名时间截止日后7日（自然日）为准）。监测关键词包括且不限于“广发银行”、“广发行”以及我行相关高层人员、主要产品等。供应商所提供的舆情监测报告，须体现舆情监测媒体覆盖范围是否包括全国性及地方性媒体、监测到的报道与采购人相关度是否较高、是否覆盖采购人总分行新闻。</w:t>
      </w:r>
    </w:p>
    <w:p>
      <w:pPr>
        <w:spacing w:line="360" w:lineRule="auto"/>
        <w:ind w:firstLine="420" w:firstLineChars="200"/>
        <w:rPr>
          <w:rFonts w:ascii="宋体" w:hAnsi="宋体"/>
          <w:bCs/>
          <w:szCs w:val="21"/>
        </w:rPr>
      </w:pPr>
      <w:r>
        <w:rPr>
          <w:rFonts w:hint="eastAsia" w:ascii="宋体" w:hAnsi="宋体"/>
          <w:szCs w:val="21"/>
        </w:rPr>
        <w:t>★</w:t>
      </w:r>
      <w:r>
        <w:rPr>
          <w:rFonts w:hint="eastAsia" w:ascii="宋体" w:hAnsi="宋体"/>
          <w:bCs/>
          <w:szCs w:val="21"/>
        </w:rPr>
        <w:t>5.2提供最近一个月采购人舆情研判分析及同业舆情研判分析报告（以本项目递交响应文件截止时间前一个月为准）。供应商所提供的前述分析及报告，须体现舆情监测媒体覆盖范围是否包括全国性及地方性媒体、监测到的报道与采购人与同业相关与关联程度、对舆情的归纳和研判逻辑合理度等。</w:t>
      </w:r>
    </w:p>
    <w:p>
      <w:pPr>
        <w:spacing w:line="360" w:lineRule="auto"/>
        <w:ind w:firstLine="420" w:firstLineChars="200"/>
        <w:rPr>
          <w:szCs w:val="21"/>
        </w:rPr>
      </w:pPr>
      <w:r>
        <w:rPr>
          <w:rFonts w:hint="eastAsia" w:ascii="宋体" w:hAnsi="宋体"/>
          <w:bCs/>
          <w:szCs w:val="21"/>
        </w:rPr>
        <w:t>5.3展示可提供</w:t>
      </w:r>
      <w:r>
        <w:rPr>
          <w:rFonts w:hint="eastAsia" w:ascii="宋体" w:hAnsi="宋体"/>
          <w:szCs w:val="21"/>
        </w:rPr>
        <w:t>舆情监测、日常新闻及声誉管理等服务的多种方式（包括可提供的服务平台等</w:t>
      </w:r>
      <w:r>
        <w:rPr>
          <w:rFonts w:hint="eastAsia"/>
          <w:szCs w:val="21"/>
        </w:rPr>
        <w:t>）。</w:t>
      </w:r>
    </w:p>
    <w:p>
      <w:pPr>
        <w:spacing w:line="360" w:lineRule="auto"/>
        <w:ind w:firstLine="420" w:firstLineChars="200"/>
        <w:outlineLvl w:val="1"/>
        <w:rPr>
          <w:b/>
          <w:szCs w:val="21"/>
        </w:rPr>
      </w:pPr>
      <w:r>
        <w:rPr>
          <w:rFonts w:hint="eastAsia"/>
          <w:b/>
          <w:szCs w:val="21"/>
        </w:rPr>
        <w:t>六、考核验收要求</w:t>
      </w:r>
    </w:p>
    <w:p>
      <w:pPr>
        <w:spacing w:line="360" w:lineRule="auto"/>
        <w:ind w:firstLine="420" w:firstLineChars="200"/>
        <w:rPr>
          <w:rFonts w:ascii="宋体" w:hAnsi="宋体"/>
          <w:b/>
          <w:szCs w:val="21"/>
        </w:rPr>
      </w:pPr>
      <w:r>
        <w:rPr>
          <w:rFonts w:hint="eastAsia" w:ascii="宋体" w:hAnsi="宋体"/>
          <w:b/>
          <w:szCs w:val="21"/>
        </w:rPr>
        <w:t>6.1月度评分标准</w:t>
      </w:r>
    </w:p>
    <w:p>
      <w:pPr>
        <w:spacing w:line="360" w:lineRule="auto"/>
        <w:ind w:firstLine="420" w:firstLineChars="200"/>
        <w:rPr>
          <w:szCs w:val="21"/>
        </w:rPr>
      </w:pPr>
      <w:r>
        <w:rPr>
          <w:rFonts w:hint="eastAsia" w:ascii="宋体" w:hAnsi="宋体"/>
          <w:szCs w:val="21"/>
        </w:rPr>
        <w:t>采购人将</w:t>
      </w:r>
      <w:r>
        <w:rPr>
          <w:rFonts w:hint="eastAsia"/>
          <w:szCs w:val="21"/>
        </w:rPr>
        <w:t xml:space="preserve">每月定时按下表标准对供应商进行服务质量评估，月度考核评分办法如下： </w:t>
      </w:r>
    </w:p>
    <w:tbl>
      <w:tblPr>
        <w:tblStyle w:val="74"/>
        <w:tblW w:w="8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851"/>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权重</w:t>
            </w:r>
          </w:p>
        </w:tc>
        <w:tc>
          <w:tcPr>
            <w:tcW w:w="647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67" w:hRule="atLeast"/>
          <w:jc w:val="center"/>
        </w:trPr>
        <w:tc>
          <w:tcPr>
            <w:tcW w:w="1596"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敏感舆情监测和预警</w:t>
            </w:r>
          </w:p>
        </w:tc>
        <w:tc>
          <w:tcPr>
            <w:tcW w:w="85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30%</w:t>
            </w:r>
          </w:p>
        </w:tc>
        <w:tc>
          <w:tcPr>
            <w:tcW w:w="6472"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1.全天候动态监测采购人相关舆情，发现负面敏感报道，5分钟内短信或微信通知采购人联系人，10分钟内发送敏感报道全文、链接、转载、阅读量等情况到采购人联系人邮箱。</w:t>
            </w:r>
          </w:p>
          <w:p>
            <w:pPr>
              <w:rPr>
                <w:rFonts w:ascii="宋体" w:hAnsi="宋体"/>
                <w:szCs w:val="21"/>
              </w:rPr>
            </w:pPr>
            <w:r>
              <w:rPr>
                <w:rFonts w:hint="eastAsia" w:ascii="宋体" w:hAnsi="宋体"/>
                <w:szCs w:val="21"/>
              </w:rPr>
              <w:t>2.发生敏感危机时，30分钟内提供详细舆情监测报告，提出处置策略，并根据舆情处理机制形成各类专项报告进行定期汇报。发生舆情升级时，同步电话、短信、微信等多途径及时汇报。</w:t>
            </w:r>
          </w:p>
          <w:p>
            <w:pPr>
              <w:rPr>
                <w:rFonts w:ascii="宋体" w:hAnsi="宋体"/>
                <w:szCs w:val="21"/>
              </w:rPr>
            </w:pPr>
            <w:r>
              <w:rPr>
                <w:rFonts w:hint="eastAsia" w:ascii="宋体" w:hAnsi="宋体"/>
                <w:szCs w:val="21"/>
              </w:rPr>
              <w:t>上述2点，每出现一点不满足扣10分。</w:t>
            </w:r>
          </w:p>
          <w:p>
            <w:pPr>
              <w:rPr>
                <w:rFonts w:ascii="宋体" w:hAnsi="宋体"/>
                <w:szCs w:val="21"/>
              </w:rPr>
            </w:pPr>
            <w:r>
              <w:rPr>
                <w:rFonts w:ascii="宋体" w:hAnsi="宋体"/>
                <w:szCs w:val="21"/>
              </w:rPr>
              <w:t>3.</w:t>
            </w:r>
            <w:r>
              <w:rPr>
                <w:rFonts w:hint="eastAsia" w:ascii="宋体" w:hAnsi="宋体"/>
                <w:szCs w:val="21"/>
              </w:rPr>
              <w:t>负面舆情必须在媒体电子版原发后2小时内报告给采购人，超过2小时视为迟报，迟报每次扣</w:t>
            </w:r>
            <w:r>
              <w:rPr>
                <w:rFonts w:ascii="宋体" w:hAnsi="宋体"/>
                <w:szCs w:val="21"/>
              </w:rPr>
              <w:t>5分；超过</w:t>
            </w:r>
            <w:r>
              <w:rPr>
                <w:rFonts w:hint="eastAsia" w:ascii="宋体" w:hAnsi="宋体"/>
                <w:szCs w:val="21"/>
              </w:rPr>
              <w:t>4小时未报视为漏报，漏报每次扣10分</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13" w:hRule="atLeast"/>
          <w:jc w:val="center"/>
        </w:trPr>
        <w:tc>
          <w:tcPr>
            <w:tcW w:w="1596"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常规监测和专项监测</w:t>
            </w:r>
          </w:p>
        </w:tc>
        <w:tc>
          <w:tcPr>
            <w:tcW w:w="85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35%</w:t>
            </w:r>
          </w:p>
        </w:tc>
        <w:tc>
          <w:tcPr>
            <w:tcW w:w="6472" w:type="dxa"/>
            <w:tcBorders>
              <w:top w:val="single" w:color="auto" w:sz="4" w:space="0"/>
              <w:left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1.每日10:00前按采购人要求格式提供舆情监测日报和简析。</w:t>
            </w:r>
          </w:p>
          <w:p>
            <w:pPr>
              <w:jc w:val="left"/>
              <w:rPr>
                <w:rFonts w:ascii="宋体" w:hAnsi="宋体"/>
                <w:szCs w:val="21"/>
              </w:rPr>
            </w:pPr>
            <w:r>
              <w:rPr>
                <w:rFonts w:hint="eastAsia" w:ascii="宋体" w:hAnsi="宋体"/>
                <w:szCs w:val="21"/>
              </w:rPr>
              <w:t>2.每月结束后5个工作日内，提交上个月采购人在全国媒体的新闻电子剪报PPT汇总和Excel表。</w:t>
            </w:r>
          </w:p>
          <w:p>
            <w:pPr>
              <w:jc w:val="left"/>
              <w:rPr>
                <w:rFonts w:ascii="宋体" w:hAnsi="宋体"/>
                <w:szCs w:val="21"/>
              </w:rPr>
            </w:pPr>
            <w:r>
              <w:rPr>
                <w:rFonts w:hint="eastAsia" w:ascii="宋体" w:hAnsi="宋体"/>
                <w:szCs w:val="21"/>
              </w:rPr>
              <w:t>3.每月结束后5个工作日内，提供上个月采购人舆情研判和分析报告。</w:t>
            </w:r>
          </w:p>
          <w:p>
            <w:pPr>
              <w:jc w:val="left"/>
              <w:rPr>
                <w:rFonts w:ascii="宋体" w:hAnsi="宋体"/>
                <w:szCs w:val="21"/>
              </w:rPr>
            </w:pPr>
            <w:r>
              <w:rPr>
                <w:rFonts w:hint="eastAsia" w:ascii="宋体" w:hAnsi="宋体"/>
                <w:szCs w:val="21"/>
              </w:rPr>
              <w:t>4.每周（周五）、每月（最后三个工作日内），提交本周、本月同业舆情、监管动态等舆情分析、研判报告。</w:t>
            </w:r>
          </w:p>
          <w:p>
            <w:pPr>
              <w:ind w:left="420" w:hanging="420" w:hangingChars="200"/>
              <w:jc w:val="left"/>
              <w:rPr>
                <w:rFonts w:ascii="宋体" w:hAnsi="宋体"/>
                <w:szCs w:val="21"/>
              </w:rPr>
            </w:pPr>
            <w:r>
              <w:rPr>
                <w:rFonts w:hint="eastAsia" w:ascii="宋体" w:hAnsi="宋体"/>
                <w:szCs w:val="21"/>
              </w:rPr>
              <w:t>5.每半年度提交新闻策划工作表（银监会规定模板）。</w:t>
            </w:r>
          </w:p>
          <w:p>
            <w:pPr>
              <w:jc w:val="left"/>
              <w:rPr>
                <w:rFonts w:ascii="宋体" w:hAnsi="宋体"/>
                <w:szCs w:val="21"/>
              </w:rPr>
            </w:pPr>
            <w:r>
              <w:rPr>
                <w:rFonts w:hint="eastAsia" w:ascii="宋体" w:hAnsi="宋体"/>
                <w:szCs w:val="21"/>
              </w:rPr>
              <w:t>6.专题传播项目在项目结束后5个工作日内提交媒体发稿监测统计及电子剪报汇总。</w:t>
            </w:r>
          </w:p>
          <w:p>
            <w:pPr>
              <w:ind w:left="420" w:hanging="420" w:hangingChars="200"/>
              <w:jc w:val="left"/>
              <w:rPr>
                <w:rFonts w:ascii="宋体" w:hAnsi="宋体"/>
                <w:szCs w:val="21"/>
              </w:rPr>
            </w:pPr>
            <w:r>
              <w:rPr>
                <w:rFonts w:hint="eastAsia" w:ascii="宋体" w:hAnsi="宋体"/>
                <w:szCs w:val="21"/>
              </w:rPr>
              <w:t>7.及时响应采购人其它监测需求。</w:t>
            </w:r>
          </w:p>
          <w:p>
            <w:pPr>
              <w:ind w:left="420" w:hanging="420" w:hangingChars="200"/>
              <w:jc w:val="left"/>
              <w:rPr>
                <w:rFonts w:ascii="宋体" w:hAnsi="宋体"/>
                <w:szCs w:val="21"/>
              </w:rPr>
            </w:pPr>
            <w:r>
              <w:rPr>
                <w:rFonts w:hint="eastAsia" w:ascii="宋体" w:hAnsi="宋体"/>
                <w:szCs w:val="21"/>
              </w:rPr>
              <w:t>上述7点，每出现一点不满足扣5分。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52"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采购人自媒体监测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ascii="宋体" w:hAnsi="宋体"/>
                <w:szCs w:val="21"/>
              </w:rPr>
              <w:t>15%</w:t>
            </w:r>
          </w:p>
        </w:tc>
        <w:tc>
          <w:tcPr>
            <w:tcW w:w="647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监测采购人总分行各级机构设立的自媒体账号（备注：包括如总分行的微信公众号、微博等发布文章的相关统计数据，如阅读量、转发量、文章链接列表等），具体要求如下：</w:t>
            </w:r>
          </w:p>
          <w:p>
            <w:pPr>
              <w:jc w:val="left"/>
              <w:rPr>
                <w:rFonts w:ascii="宋体" w:hAnsi="宋体"/>
                <w:szCs w:val="21"/>
              </w:rPr>
            </w:pPr>
            <w:r>
              <w:rPr>
                <w:rFonts w:hint="eastAsia" w:ascii="宋体" w:hAnsi="宋体"/>
                <w:szCs w:val="21"/>
              </w:rPr>
              <w:t>1.总分行自媒体列表范围单个账号文章（视频）发布链接、阅读量、转发量、评论数日常监测。监测要求与标准与本文件《用户需求书》的第三点的内容相同。</w:t>
            </w:r>
          </w:p>
          <w:p>
            <w:pPr>
              <w:jc w:val="left"/>
              <w:rPr>
                <w:rFonts w:ascii="宋体" w:hAnsi="宋体"/>
                <w:szCs w:val="21"/>
              </w:rPr>
            </w:pPr>
            <w:r>
              <w:rPr>
                <w:rFonts w:hint="eastAsia" w:ascii="宋体" w:hAnsi="宋体"/>
                <w:szCs w:val="21"/>
              </w:rPr>
              <w:t>2.每半年提供总分行自媒体列表范围单个账号平均阅读量、转发量、评论数的统计。</w:t>
            </w:r>
          </w:p>
          <w:p>
            <w:r>
              <w:rPr>
                <w:rFonts w:hint="eastAsia" w:ascii="宋体" w:hAnsi="宋体"/>
                <w:szCs w:val="21"/>
              </w:rPr>
              <w:t>3.突发情况下，在30分钟内可在总分行自媒体列表范围内依据关键词锁定原始发布账号及发布链接。</w:t>
            </w:r>
          </w:p>
          <w:p>
            <w:pPr>
              <w:rPr>
                <w:rFonts w:ascii="宋体" w:hAnsi="宋体"/>
                <w:szCs w:val="21"/>
              </w:rPr>
            </w:pPr>
            <w:r>
              <w:rPr>
                <w:rFonts w:hint="eastAsia"/>
              </w:rPr>
              <w:t>扣分原则：上述3点，每出现1点不满足扣3分，最低得0分。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44"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其他</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647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根据日常工作响应速度，处理效率，总体配合程度、工作成效以及其它按具体情况所提出的有效性、建设性服务与建议综合评定供应商的工作表现：</w:t>
            </w:r>
          </w:p>
          <w:p>
            <w:pPr>
              <w:rPr>
                <w:rFonts w:ascii="宋体" w:hAnsi="宋体"/>
                <w:szCs w:val="21"/>
              </w:rPr>
            </w:pPr>
            <w:r>
              <w:rPr>
                <w:rFonts w:hint="eastAsia"/>
              </w:rPr>
              <w:t>优秀得9-10分，良好得6-8分，一般得3-5分，较差得0-2分。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06"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贵宾及私银客户监测服务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647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按采购人零售业务条线要求，按时高质完成相关敏感舆情监测服务。每月1日与16日，在当天上午10点前提交当日前两周的监测报告。</w:t>
            </w:r>
          </w:p>
          <w:p>
            <w:pPr>
              <w:rPr>
                <w:rFonts w:ascii="宋体" w:hAnsi="宋体"/>
                <w:szCs w:val="21"/>
              </w:rPr>
            </w:pPr>
            <w:r>
              <w:rPr>
                <w:rFonts w:hint="eastAsia"/>
              </w:rPr>
              <w:t>扣分原则：每迟交一个小时（超过半小时按1个小时计）扣1分，最低得0分。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月度总得分</w:t>
            </w:r>
          </w:p>
        </w:tc>
        <w:tc>
          <w:tcPr>
            <w:tcW w:w="7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总分计算方式为单项实际得分之总和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注“总分行自媒体列表”详见用户需求书附件A、B</w:t>
            </w:r>
          </w:p>
        </w:tc>
      </w:tr>
    </w:tbl>
    <w:p>
      <w:pPr>
        <w:spacing w:line="360" w:lineRule="auto"/>
        <w:ind w:firstLine="420" w:firstLineChars="200"/>
        <w:rPr>
          <w:rFonts w:ascii="宋体" w:hAnsi="宋体"/>
          <w:b/>
          <w:szCs w:val="21"/>
        </w:rPr>
      </w:pPr>
      <w:r>
        <w:rPr>
          <w:rFonts w:hint="eastAsia" w:ascii="宋体" w:hAnsi="宋体"/>
          <w:b/>
          <w:szCs w:val="21"/>
        </w:rPr>
        <w:t>6.2支付金额计算</w:t>
      </w:r>
    </w:p>
    <w:p>
      <w:pPr>
        <w:spacing w:line="360" w:lineRule="auto"/>
        <w:ind w:firstLine="420" w:firstLineChars="200"/>
        <w:rPr>
          <w:rFonts w:ascii="宋体" w:hAnsi="宋体"/>
          <w:szCs w:val="21"/>
        </w:rPr>
      </w:pPr>
      <w:r>
        <w:rPr>
          <w:rFonts w:hint="eastAsia" w:ascii="宋体" w:hAnsi="宋体"/>
          <w:szCs w:val="21"/>
        </w:rPr>
        <w:t>根据月度评分总得分，依据下表原则计算月费支付金额后，每三个月结算一次：</w:t>
      </w:r>
    </w:p>
    <w:tbl>
      <w:tblPr>
        <w:tblStyle w:val="74"/>
        <w:tblW w:w="811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5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得分</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支付额度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85~100分</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支付全额月费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70~84分</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支付80%月费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60~69分</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支付60%月费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低于60分</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支付50%月费</w:t>
            </w:r>
          </w:p>
        </w:tc>
      </w:tr>
    </w:tbl>
    <w:p>
      <w:pPr>
        <w:spacing w:line="360" w:lineRule="auto"/>
        <w:ind w:firstLine="420" w:firstLineChars="200"/>
        <w:outlineLvl w:val="1"/>
        <w:rPr>
          <w:b/>
          <w:szCs w:val="21"/>
        </w:rPr>
      </w:pPr>
      <w:r>
        <w:rPr>
          <w:rFonts w:hint="eastAsia"/>
          <w:b/>
          <w:szCs w:val="21"/>
        </w:rPr>
        <w:t>七、其他</w:t>
      </w:r>
    </w:p>
    <w:p>
      <w:pPr>
        <w:spacing w:line="360" w:lineRule="auto"/>
        <w:ind w:firstLine="420" w:firstLineChars="200"/>
        <w:rPr>
          <w:b/>
          <w:szCs w:val="21"/>
        </w:rPr>
      </w:pPr>
      <w:r>
        <w:rPr>
          <w:rFonts w:hint="eastAsia"/>
          <w:b/>
          <w:szCs w:val="21"/>
        </w:rPr>
        <w:t>7.1过往典型案例介绍</w:t>
      </w:r>
    </w:p>
    <w:p>
      <w:pPr>
        <w:spacing w:line="360" w:lineRule="auto"/>
        <w:ind w:firstLine="420" w:firstLineChars="200"/>
        <w:rPr>
          <w:szCs w:val="21"/>
        </w:rPr>
      </w:pPr>
      <w:r>
        <w:rPr>
          <w:rFonts w:hint="eastAsia"/>
          <w:szCs w:val="21"/>
        </w:rPr>
        <w:t>供应商应提供过往实际执行的舆情监控案例（典型案例一例，由供应商自行选择）介绍，案例服务对象应为金融机构，舆情监测周期应为至少一周，须涵盖以下内容：负面舆情如何发现、如何报告、舆情趋势分析、应对策略建议等。</w:t>
      </w:r>
    </w:p>
    <w:p>
      <w:pPr>
        <w:spacing w:line="360" w:lineRule="auto"/>
        <w:ind w:firstLine="420" w:firstLineChars="200"/>
        <w:rPr>
          <w:b/>
          <w:szCs w:val="21"/>
        </w:rPr>
      </w:pPr>
      <w:r>
        <w:rPr>
          <w:rFonts w:hint="eastAsia"/>
          <w:b/>
          <w:szCs w:val="21"/>
        </w:rPr>
        <w:t>7.2增值服务要求</w:t>
      </w:r>
    </w:p>
    <w:p>
      <w:pPr>
        <w:spacing w:line="360" w:lineRule="auto"/>
        <w:ind w:firstLine="420" w:firstLineChars="200"/>
        <w:rPr>
          <w:szCs w:val="21"/>
        </w:rPr>
      </w:pPr>
      <w:r>
        <w:rPr>
          <w:rFonts w:hint="eastAsia"/>
          <w:szCs w:val="21"/>
        </w:rPr>
        <w:t>供应商应可为本项目承诺免费增值服务，包括但不限于：声誉风险管理培训、舆情应对演练等，以及供应商认为合理、有效的其他合理化建议或服务承诺。</w:t>
      </w:r>
    </w:p>
    <w:p>
      <w:pPr>
        <w:spacing w:line="360" w:lineRule="auto"/>
        <w:ind w:firstLine="420" w:firstLineChars="200"/>
        <w:rPr>
          <w:b/>
          <w:szCs w:val="21"/>
        </w:rPr>
      </w:pPr>
      <w:r>
        <w:rPr>
          <w:rFonts w:hint="eastAsia"/>
          <w:b/>
          <w:szCs w:val="21"/>
        </w:rPr>
        <w:t>★</w:t>
      </w:r>
      <w:r>
        <w:rPr>
          <w:b/>
          <w:szCs w:val="21"/>
        </w:rPr>
        <w:t>7.3</w:t>
      </w:r>
      <w:r>
        <w:rPr>
          <w:rFonts w:hint="eastAsia"/>
          <w:b/>
          <w:szCs w:val="21"/>
        </w:rPr>
        <w:t>关于业绩真实性的特别明确</w:t>
      </w:r>
    </w:p>
    <w:p>
      <w:pPr>
        <w:spacing w:line="360" w:lineRule="auto"/>
        <w:ind w:firstLine="420" w:firstLineChars="200"/>
        <w:rPr>
          <w:bCs/>
          <w:szCs w:val="21"/>
        </w:rPr>
      </w:pPr>
      <w:r>
        <w:rPr>
          <w:rFonts w:hint="eastAsia"/>
          <w:bCs/>
          <w:szCs w:val="21"/>
        </w:rPr>
        <w:t>供应商对本项目所提供的案例与业绩（包括前述典型案例与后文填写业绩一览表中的业绩），均须保证其内容的真实性，采购人保留事后核查的权利。如查证案例属于虚假内容，采购人将没收报价保证金、取消供应商中选资格、或合同期内无条件终止中选供应商服务资格并保留追究其相关责任的权利。</w:t>
      </w:r>
    </w:p>
    <w:p>
      <w:pPr>
        <w:spacing w:line="360" w:lineRule="auto"/>
        <w:ind w:firstLine="420" w:firstLineChars="200"/>
        <w:outlineLvl w:val="1"/>
        <w:rPr>
          <w:b/>
          <w:bCs/>
          <w:szCs w:val="21"/>
        </w:rPr>
      </w:pPr>
      <w:r>
        <w:rPr>
          <w:rFonts w:hint="eastAsia"/>
          <w:b/>
          <w:bCs/>
          <w:szCs w:val="21"/>
        </w:rPr>
        <w:t>附件：总分行自媒体列表范围</w:t>
      </w:r>
    </w:p>
    <w:p>
      <w:pPr>
        <w:spacing w:line="360" w:lineRule="auto"/>
        <w:ind w:firstLine="420" w:firstLineChars="200"/>
        <w:rPr>
          <w:bCs/>
          <w:szCs w:val="21"/>
        </w:rPr>
      </w:pPr>
      <w:r>
        <w:rPr>
          <w:rFonts w:hint="eastAsia"/>
          <w:bCs/>
          <w:szCs w:val="21"/>
        </w:rPr>
        <w:t>（采购人不承诺具体发生数量，下列账号可能依实际情况变动）</w:t>
      </w:r>
    </w:p>
    <w:p>
      <w:pPr>
        <w:spacing w:line="360" w:lineRule="auto"/>
        <w:ind w:firstLine="420" w:firstLineChars="200"/>
        <w:rPr>
          <w:bCs/>
          <w:szCs w:val="21"/>
        </w:rPr>
      </w:pPr>
      <w:r>
        <w:rPr>
          <w:rFonts w:hint="eastAsia"/>
          <w:bCs/>
          <w:szCs w:val="21"/>
        </w:rPr>
        <w:t>A 总行</w:t>
      </w:r>
    </w:p>
    <w:p>
      <w:pPr>
        <w:spacing w:line="360" w:lineRule="auto"/>
        <w:ind w:firstLine="420" w:firstLineChars="200"/>
        <w:rPr>
          <w:bCs/>
          <w:szCs w:val="21"/>
        </w:rPr>
      </w:pPr>
      <w:r>
        <w:rPr>
          <w:rFonts w:hint="eastAsia"/>
          <w:bCs/>
          <w:szCs w:val="21"/>
        </w:rPr>
        <w:t>广发银行</w:t>
      </w:r>
      <w:r>
        <w:rPr>
          <w:rFonts w:hint="eastAsia"/>
          <w:bCs/>
          <w:szCs w:val="21"/>
        </w:rPr>
        <w:tab/>
      </w:r>
      <w:r>
        <w:rPr>
          <w:rFonts w:hint="eastAsia"/>
          <w:bCs/>
          <w:szCs w:val="21"/>
        </w:rPr>
        <w:t>CGB-China</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广发银行</w:t>
      </w:r>
      <w:r>
        <w:rPr>
          <w:rFonts w:hint="eastAsia"/>
          <w:bCs/>
          <w:szCs w:val="21"/>
        </w:rPr>
        <w:tab/>
      </w:r>
      <w:r>
        <w:rPr>
          <w:rFonts w:hint="eastAsia"/>
          <w:bCs/>
          <w:szCs w:val="21"/>
        </w:rPr>
        <w:t>——</w:t>
      </w:r>
      <w:r>
        <w:rPr>
          <w:rFonts w:hint="eastAsia"/>
          <w:bCs/>
          <w:szCs w:val="21"/>
        </w:rPr>
        <w:tab/>
      </w:r>
      <w:r>
        <w:rPr>
          <w:rFonts w:hint="eastAsia"/>
          <w:bCs/>
          <w:szCs w:val="21"/>
        </w:rPr>
        <w:t>广发银行股份有限公司</w:t>
      </w:r>
      <w:r>
        <w:rPr>
          <w:rFonts w:hint="eastAsia"/>
          <w:bCs/>
          <w:szCs w:val="21"/>
        </w:rPr>
        <w:tab/>
      </w:r>
      <w:r>
        <w:rPr>
          <w:rFonts w:hint="eastAsia"/>
          <w:bCs/>
          <w:szCs w:val="21"/>
        </w:rPr>
        <w:t>新浪微博</w:t>
      </w:r>
    </w:p>
    <w:p>
      <w:pPr>
        <w:spacing w:line="360" w:lineRule="auto"/>
        <w:ind w:firstLine="420" w:firstLineChars="200"/>
        <w:rPr>
          <w:bCs/>
          <w:szCs w:val="21"/>
        </w:rPr>
      </w:pPr>
      <w:r>
        <w:rPr>
          <w:rFonts w:hint="eastAsia"/>
          <w:bCs/>
          <w:szCs w:val="21"/>
        </w:rPr>
        <w:t>广发银行</w:t>
      </w:r>
      <w:r>
        <w:rPr>
          <w:rFonts w:hint="eastAsia"/>
          <w:bCs/>
          <w:szCs w:val="21"/>
        </w:rPr>
        <w:tab/>
      </w:r>
      <w:r>
        <w:rPr>
          <w:rFonts w:hint="eastAsia"/>
          <w:bCs/>
          <w:szCs w:val="21"/>
        </w:rPr>
        <w:t>1627158043286539</w:t>
      </w:r>
      <w:r>
        <w:rPr>
          <w:rFonts w:hint="eastAsia"/>
          <w:bCs/>
          <w:szCs w:val="21"/>
        </w:rPr>
        <w:tab/>
      </w:r>
      <w:r>
        <w:rPr>
          <w:rFonts w:hint="eastAsia"/>
          <w:bCs/>
          <w:szCs w:val="21"/>
        </w:rPr>
        <w:t>广发银行股份有限公司</w:t>
      </w:r>
      <w:r>
        <w:rPr>
          <w:rFonts w:hint="eastAsia"/>
          <w:bCs/>
          <w:szCs w:val="21"/>
        </w:rPr>
        <w:tab/>
      </w:r>
      <w:r>
        <w:rPr>
          <w:rFonts w:hint="eastAsia"/>
          <w:bCs/>
          <w:szCs w:val="21"/>
        </w:rPr>
        <w:t>头条号</w:t>
      </w:r>
    </w:p>
    <w:p>
      <w:pPr>
        <w:spacing w:line="360" w:lineRule="auto"/>
        <w:ind w:firstLine="420" w:firstLineChars="200"/>
        <w:rPr>
          <w:bCs/>
          <w:szCs w:val="21"/>
        </w:rPr>
      </w:pPr>
      <w:r>
        <w:rPr>
          <w:rFonts w:hint="eastAsia"/>
          <w:bCs/>
          <w:szCs w:val="21"/>
        </w:rPr>
        <w:t>广发银行</w:t>
      </w:r>
      <w:r>
        <w:rPr>
          <w:rFonts w:hint="eastAsia"/>
          <w:bCs/>
          <w:szCs w:val="21"/>
        </w:rPr>
        <w:tab/>
      </w:r>
      <w:r>
        <w:rPr>
          <w:rFonts w:hint="eastAsia"/>
          <w:bCs/>
          <w:szCs w:val="21"/>
        </w:rPr>
        <w:t>——</w:t>
      </w:r>
      <w:r>
        <w:rPr>
          <w:rFonts w:hint="eastAsia"/>
          <w:bCs/>
          <w:szCs w:val="21"/>
        </w:rPr>
        <w:tab/>
      </w:r>
      <w:r>
        <w:rPr>
          <w:rFonts w:hint="eastAsia"/>
          <w:bCs/>
          <w:szCs w:val="21"/>
        </w:rPr>
        <w:t>广发银行股份有限公司</w:t>
      </w:r>
      <w:r>
        <w:rPr>
          <w:rFonts w:hint="eastAsia"/>
          <w:bCs/>
          <w:szCs w:val="21"/>
        </w:rPr>
        <w:tab/>
      </w:r>
      <w:r>
        <w:rPr>
          <w:rFonts w:hint="eastAsia"/>
          <w:bCs/>
          <w:szCs w:val="21"/>
        </w:rPr>
        <w:t>百家号</w:t>
      </w:r>
    </w:p>
    <w:p>
      <w:pPr>
        <w:spacing w:line="360" w:lineRule="auto"/>
        <w:ind w:firstLine="420" w:firstLineChars="200"/>
        <w:rPr>
          <w:bCs/>
          <w:szCs w:val="21"/>
        </w:rPr>
      </w:pPr>
      <w:r>
        <w:rPr>
          <w:rFonts w:hint="eastAsia"/>
          <w:bCs/>
          <w:szCs w:val="21"/>
        </w:rPr>
        <w:t>广发银行</w:t>
      </w:r>
      <w:r>
        <w:rPr>
          <w:rFonts w:hint="eastAsia"/>
          <w:bCs/>
          <w:szCs w:val="21"/>
        </w:rPr>
        <w:tab/>
      </w:r>
      <w:r>
        <w:rPr>
          <w:rFonts w:hint="eastAsia"/>
          <w:bCs/>
          <w:szCs w:val="21"/>
        </w:rPr>
        <w:t>594232965</w:t>
      </w:r>
      <w:r>
        <w:rPr>
          <w:rFonts w:hint="eastAsia"/>
          <w:bCs/>
          <w:szCs w:val="21"/>
        </w:rPr>
        <w:tab/>
      </w:r>
      <w:r>
        <w:rPr>
          <w:rFonts w:hint="eastAsia"/>
          <w:bCs/>
          <w:szCs w:val="21"/>
        </w:rPr>
        <w:t>广发银行股份有限公司</w:t>
      </w:r>
      <w:r>
        <w:rPr>
          <w:rFonts w:hint="eastAsia"/>
          <w:bCs/>
          <w:szCs w:val="21"/>
        </w:rPr>
        <w:tab/>
      </w:r>
      <w:r>
        <w:rPr>
          <w:rFonts w:hint="eastAsia"/>
          <w:bCs/>
          <w:szCs w:val="21"/>
        </w:rPr>
        <w:t>抖音号</w:t>
      </w:r>
    </w:p>
    <w:p>
      <w:pPr>
        <w:spacing w:line="360" w:lineRule="auto"/>
        <w:ind w:firstLine="420" w:firstLineChars="200"/>
        <w:rPr>
          <w:bCs/>
          <w:szCs w:val="21"/>
        </w:rPr>
      </w:pPr>
      <w:r>
        <w:rPr>
          <w:rFonts w:hint="eastAsia"/>
          <w:bCs/>
          <w:szCs w:val="21"/>
        </w:rPr>
        <w:t>广发银行微讯社</w:t>
      </w:r>
      <w:r>
        <w:rPr>
          <w:rFonts w:hint="eastAsia"/>
          <w:bCs/>
          <w:szCs w:val="21"/>
        </w:rPr>
        <w:tab/>
      </w:r>
      <w:r>
        <w:rPr>
          <w:rFonts w:hint="eastAsia"/>
          <w:bCs/>
          <w:szCs w:val="21"/>
        </w:rPr>
        <w:t>cgbnews</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广发银行公司金融</w:t>
      </w:r>
      <w:r>
        <w:rPr>
          <w:rFonts w:hint="eastAsia"/>
          <w:bCs/>
          <w:szCs w:val="21"/>
        </w:rPr>
        <w:tab/>
      </w:r>
      <w:r>
        <w:rPr>
          <w:rFonts w:hint="eastAsia"/>
          <w:bCs/>
          <w:szCs w:val="21"/>
        </w:rPr>
        <w:t>gfyhgsjr</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广发信用卡</w:t>
      </w:r>
      <w:r>
        <w:rPr>
          <w:rFonts w:hint="eastAsia"/>
          <w:bCs/>
          <w:szCs w:val="21"/>
        </w:rPr>
        <w:tab/>
      </w:r>
      <w:r>
        <w:rPr>
          <w:rFonts w:hint="eastAsia"/>
          <w:bCs/>
          <w:szCs w:val="21"/>
        </w:rPr>
        <w:t>guangfa-card</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广发银行招聘官微</w:t>
      </w:r>
      <w:r>
        <w:rPr>
          <w:rFonts w:hint="eastAsia"/>
          <w:bCs/>
          <w:szCs w:val="21"/>
        </w:rPr>
        <w:tab/>
      </w:r>
      <w:r>
        <w:rPr>
          <w:rFonts w:hint="eastAsia"/>
          <w:bCs/>
          <w:szCs w:val="21"/>
        </w:rPr>
        <w:t>cgbzhaopin</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广发直销银行</w:t>
      </w:r>
      <w:r>
        <w:rPr>
          <w:rFonts w:hint="eastAsia"/>
          <w:bCs/>
          <w:szCs w:val="21"/>
        </w:rPr>
        <w:tab/>
      </w:r>
      <w:r>
        <w:rPr>
          <w:rFonts w:hint="eastAsia"/>
          <w:bCs/>
          <w:szCs w:val="21"/>
        </w:rPr>
        <w:t>gh_8416bf1b657d</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广发零售业务协同平台</w:t>
      </w:r>
      <w:r>
        <w:rPr>
          <w:rFonts w:hint="eastAsia"/>
          <w:bCs/>
          <w:szCs w:val="21"/>
        </w:rPr>
        <w:tab/>
      </w:r>
      <w:r>
        <w:rPr>
          <w:rFonts w:hint="eastAsia"/>
          <w:bCs/>
          <w:szCs w:val="21"/>
        </w:rPr>
        <w:t>CLIC-CGB</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广发财富管理官方微博</w:t>
      </w:r>
      <w:r>
        <w:rPr>
          <w:rFonts w:hint="eastAsia"/>
          <w:bCs/>
          <w:szCs w:val="21"/>
        </w:rPr>
        <w:tab/>
      </w:r>
      <w:r>
        <w:rPr>
          <w:rFonts w:hint="eastAsia"/>
          <w:bCs/>
          <w:szCs w:val="21"/>
        </w:rPr>
        <w:tab/>
      </w:r>
      <w:r>
        <w:rPr>
          <w:rFonts w:hint="eastAsia"/>
          <w:bCs/>
          <w:szCs w:val="21"/>
        </w:rPr>
        <w:t>广发银行股份有限公司</w:t>
      </w:r>
      <w:r>
        <w:rPr>
          <w:rFonts w:hint="eastAsia"/>
          <w:bCs/>
          <w:szCs w:val="21"/>
        </w:rPr>
        <w:tab/>
      </w:r>
      <w:r>
        <w:rPr>
          <w:rFonts w:hint="eastAsia"/>
          <w:bCs/>
          <w:szCs w:val="21"/>
        </w:rPr>
        <w:t>新浪微博号</w:t>
      </w:r>
    </w:p>
    <w:p>
      <w:pPr>
        <w:spacing w:line="360" w:lineRule="auto"/>
        <w:ind w:firstLine="420" w:firstLineChars="200"/>
        <w:rPr>
          <w:bCs/>
          <w:szCs w:val="21"/>
        </w:rPr>
      </w:pPr>
      <w:r>
        <w:rPr>
          <w:rFonts w:hint="eastAsia"/>
          <w:bCs/>
          <w:szCs w:val="21"/>
        </w:rPr>
        <w:t>青春广发</w:t>
      </w:r>
      <w:r>
        <w:rPr>
          <w:rFonts w:hint="eastAsia"/>
          <w:bCs/>
          <w:szCs w:val="21"/>
        </w:rPr>
        <w:tab/>
      </w:r>
      <w:r>
        <w:rPr>
          <w:rFonts w:hint="eastAsia"/>
          <w:bCs/>
          <w:szCs w:val="21"/>
        </w:rPr>
        <w:t>gh_965285d97cd1</w:t>
      </w:r>
      <w:r>
        <w:rPr>
          <w:rFonts w:hint="eastAsia"/>
          <w:bCs/>
          <w:szCs w:val="21"/>
        </w:rPr>
        <w:tab/>
      </w:r>
      <w:r>
        <w:rPr>
          <w:rFonts w:hint="eastAsia"/>
          <w:bCs/>
          <w:szCs w:val="21"/>
        </w:rPr>
        <w:t>广发正能量</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广发托管</w:t>
      </w:r>
      <w:r>
        <w:rPr>
          <w:rFonts w:hint="eastAsia"/>
          <w:bCs/>
          <w:szCs w:val="21"/>
        </w:rPr>
        <w:tab/>
      </w:r>
      <w:r>
        <w:rPr>
          <w:rFonts w:hint="eastAsia"/>
          <w:bCs/>
          <w:szCs w:val="21"/>
        </w:rPr>
        <w:t>gh_c11bad6e3bb4</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广发运营</w:t>
      </w:r>
      <w:r>
        <w:rPr>
          <w:rFonts w:hint="eastAsia"/>
          <w:bCs/>
          <w:szCs w:val="21"/>
        </w:rPr>
        <w:tab/>
      </w:r>
      <w:r>
        <w:rPr>
          <w:rFonts w:hint="eastAsia"/>
          <w:bCs/>
          <w:szCs w:val="21"/>
        </w:rPr>
        <w:t>CGB-OPD</w:t>
      </w:r>
      <w:r>
        <w:rPr>
          <w:rFonts w:hint="eastAsia"/>
          <w:bCs/>
          <w:szCs w:val="21"/>
        </w:rPr>
        <w:tab/>
      </w:r>
      <w:r>
        <w:rPr>
          <w:rFonts w:hint="eastAsia"/>
          <w:bCs/>
          <w:szCs w:val="21"/>
        </w:rPr>
        <w:t>个人</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小发精彩</w:t>
      </w:r>
      <w:r>
        <w:rPr>
          <w:rFonts w:hint="eastAsia"/>
          <w:bCs/>
          <w:szCs w:val="21"/>
        </w:rPr>
        <w:tab/>
      </w:r>
      <w:r>
        <w:rPr>
          <w:rFonts w:hint="eastAsia"/>
          <w:bCs/>
          <w:szCs w:val="21"/>
        </w:rPr>
        <w:t>GDB-sharing-day</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广发信用卡中心招聘</w:t>
      </w:r>
      <w:r>
        <w:rPr>
          <w:rFonts w:hint="eastAsia"/>
          <w:bCs/>
          <w:szCs w:val="21"/>
        </w:rPr>
        <w:tab/>
      </w:r>
      <w:r>
        <w:rPr>
          <w:rFonts w:hint="eastAsia"/>
          <w:bCs/>
          <w:szCs w:val="21"/>
        </w:rPr>
        <w:t>guangfajob</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微信服务号</w:t>
      </w:r>
    </w:p>
    <w:p>
      <w:pPr>
        <w:spacing w:line="360" w:lineRule="auto"/>
        <w:ind w:firstLine="420" w:firstLineChars="200"/>
        <w:rPr>
          <w:bCs/>
          <w:szCs w:val="21"/>
        </w:rPr>
      </w:pPr>
      <w:r>
        <w:rPr>
          <w:rFonts w:hint="eastAsia"/>
          <w:bCs/>
          <w:szCs w:val="21"/>
        </w:rPr>
        <w:t>卡门神曲</w:t>
      </w:r>
      <w:r>
        <w:rPr>
          <w:rFonts w:hint="eastAsia"/>
          <w:bCs/>
          <w:szCs w:val="21"/>
        </w:rPr>
        <w:tab/>
      </w:r>
      <w:r>
        <w:rPr>
          <w:rFonts w:hint="eastAsia"/>
          <w:bCs/>
          <w:szCs w:val="21"/>
        </w:rPr>
        <w:t>kmsqcgb</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E秒拔草</w:t>
      </w:r>
      <w:r>
        <w:rPr>
          <w:rFonts w:hint="eastAsia"/>
          <w:bCs/>
          <w:szCs w:val="21"/>
        </w:rPr>
        <w:tab/>
      </w:r>
      <w:r>
        <w:rPr>
          <w:rFonts w:hint="eastAsia"/>
          <w:bCs/>
          <w:szCs w:val="21"/>
        </w:rPr>
        <w:t>E-bacao</w:t>
      </w:r>
      <w:r>
        <w:rPr>
          <w:rFonts w:hint="eastAsia"/>
          <w:bCs/>
          <w:szCs w:val="21"/>
        </w:rPr>
        <w:tab/>
      </w:r>
      <w:r>
        <w:rPr>
          <w:rFonts w:hint="eastAsia"/>
          <w:bCs/>
          <w:szCs w:val="21"/>
        </w:rPr>
        <w:t>广发银行股份有限公司信用卡中心</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CC你我的家</w:t>
      </w:r>
      <w:r>
        <w:rPr>
          <w:rFonts w:hint="eastAsia"/>
          <w:bCs/>
          <w:szCs w:val="21"/>
        </w:rPr>
        <w:tab/>
      </w:r>
      <w:r>
        <w:rPr>
          <w:rFonts w:hint="eastAsia"/>
          <w:bCs/>
          <w:szCs w:val="21"/>
        </w:rPr>
        <w:t>ccyy95508</w:t>
      </w:r>
      <w:r>
        <w:rPr>
          <w:rFonts w:hint="eastAsia"/>
          <w:bCs/>
          <w:szCs w:val="21"/>
        </w:rPr>
        <w:tab/>
      </w:r>
      <w:r>
        <w:rPr>
          <w:rFonts w:hint="eastAsia"/>
          <w:bCs/>
          <w:szCs w:val="21"/>
        </w:rPr>
        <w:t>个人</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电营渠道“E起来”</w:t>
      </w:r>
      <w:r>
        <w:rPr>
          <w:rFonts w:hint="eastAsia"/>
          <w:bCs/>
          <w:szCs w:val="21"/>
        </w:rPr>
        <w:tab/>
      </w:r>
      <w:r>
        <w:rPr>
          <w:rFonts w:hint="eastAsia"/>
          <w:bCs/>
          <w:szCs w:val="21"/>
        </w:rPr>
        <w:t>gh_f932a6bf64bd</w:t>
      </w:r>
      <w:r>
        <w:rPr>
          <w:rFonts w:hint="eastAsia"/>
          <w:bCs/>
          <w:szCs w:val="21"/>
        </w:rPr>
        <w:tab/>
      </w:r>
      <w:r>
        <w:rPr>
          <w:rFonts w:hint="eastAsia"/>
          <w:bCs/>
          <w:szCs w:val="21"/>
        </w:rPr>
        <w:t>个人</w:t>
      </w:r>
      <w:r>
        <w:rPr>
          <w:rFonts w:hint="eastAsia"/>
          <w:bCs/>
          <w:szCs w:val="21"/>
        </w:rPr>
        <w:tab/>
      </w:r>
      <w:r>
        <w:rPr>
          <w:rFonts w:hint="eastAsia"/>
          <w:bCs/>
          <w:szCs w:val="21"/>
        </w:rPr>
        <w:t>微信订阅号</w:t>
      </w:r>
    </w:p>
    <w:p>
      <w:pPr>
        <w:spacing w:line="360" w:lineRule="auto"/>
        <w:ind w:firstLine="420" w:firstLineChars="200"/>
        <w:rPr>
          <w:bCs/>
          <w:szCs w:val="21"/>
        </w:rPr>
      </w:pPr>
      <w:r>
        <w:rPr>
          <w:rFonts w:hint="eastAsia"/>
          <w:bCs/>
          <w:szCs w:val="21"/>
        </w:rPr>
        <w:t>广发银行资管</w:t>
      </w:r>
      <w:r>
        <w:rPr>
          <w:rFonts w:hint="eastAsia"/>
          <w:bCs/>
          <w:szCs w:val="21"/>
        </w:rPr>
        <w:tab/>
      </w:r>
      <w:r>
        <w:rPr>
          <w:rFonts w:hint="eastAsia"/>
          <w:bCs/>
          <w:szCs w:val="21"/>
        </w:rPr>
        <w:t>guangfayinhanziguan</w:t>
      </w:r>
      <w:r>
        <w:rPr>
          <w:rFonts w:hint="eastAsia"/>
          <w:bCs/>
          <w:szCs w:val="21"/>
        </w:rPr>
        <w:tab/>
      </w:r>
      <w:r>
        <w:rPr>
          <w:rFonts w:hint="eastAsia"/>
          <w:bCs/>
          <w:szCs w:val="21"/>
        </w:rPr>
        <w:t>广发银行股份有限公司</w:t>
      </w:r>
      <w:r>
        <w:rPr>
          <w:rFonts w:hint="eastAsia"/>
          <w:bCs/>
          <w:szCs w:val="21"/>
        </w:rPr>
        <w:tab/>
      </w:r>
      <w:r>
        <w:rPr>
          <w:rFonts w:hint="eastAsia"/>
          <w:bCs/>
          <w:szCs w:val="21"/>
        </w:rPr>
        <w:t>微信订阅号</w:t>
      </w:r>
    </w:p>
    <w:p>
      <w:pPr>
        <w:spacing w:line="360" w:lineRule="auto"/>
        <w:ind w:firstLine="420" w:firstLineChars="200"/>
        <w:rPr>
          <w:bCs/>
          <w:szCs w:val="21"/>
        </w:rPr>
      </w:pPr>
    </w:p>
    <w:p>
      <w:pPr>
        <w:spacing w:line="360" w:lineRule="auto"/>
        <w:ind w:firstLine="420" w:firstLineChars="200"/>
        <w:rPr>
          <w:bCs/>
          <w:szCs w:val="21"/>
        </w:rPr>
      </w:pPr>
      <w:r>
        <w:rPr>
          <w:rFonts w:hint="eastAsia"/>
          <w:bCs/>
          <w:szCs w:val="21"/>
        </w:rPr>
        <w:t>B 分行</w:t>
      </w:r>
    </w:p>
    <w:p>
      <w:pPr>
        <w:spacing w:line="360" w:lineRule="auto"/>
        <w:ind w:firstLine="420" w:firstLineChars="200"/>
        <w:rPr>
          <w:bCs/>
          <w:szCs w:val="21"/>
        </w:rPr>
      </w:pPr>
      <w:r>
        <w:rPr>
          <w:rFonts w:hint="eastAsia"/>
          <w:bCs/>
          <w:szCs w:val="21"/>
        </w:rPr>
        <w:t>广发卡北京</w:t>
      </w:r>
      <w:r>
        <w:rPr>
          <w:rFonts w:hint="eastAsia"/>
          <w:bCs/>
          <w:szCs w:val="21"/>
        </w:rPr>
        <w:tab/>
      </w:r>
      <w:r>
        <w:rPr>
          <w:rFonts w:hint="eastAsia"/>
          <w:bCs/>
          <w:szCs w:val="21"/>
        </w:rPr>
        <w:t>gfcard_bj</w:t>
      </w:r>
    </w:p>
    <w:p>
      <w:pPr>
        <w:spacing w:line="360" w:lineRule="auto"/>
        <w:ind w:firstLine="420" w:firstLineChars="200"/>
        <w:rPr>
          <w:bCs/>
          <w:szCs w:val="21"/>
        </w:rPr>
      </w:pPr>
      <w:r>
        <w:rPr>
          <w:rFonts w:hint="eastAsia"/>
          <w:bCs/>
          <w:szCs w:val="21"/>
        </w:rPr>
        <w:t>广发银行广州分行</w:t>
      </w:r>
      <w:r>
        <w:rPr>
          <w:rFonts w:hint="eastAsia"/>
          <w:bCs/>
          <w:szCs w:val="21"/>
        </w:rPr>
        <w:tab/>
      </w:r>
      <w:r>
        <w:rPr>
          <w:rFonts w:hint="eastAsia"/>
          <w:bCs/>
          <w:szCs w:val="21"/>
        </w:rPr>
        <w:t>CGB_GZ</w:t>
      </w:r>
    </w:p>
    <w:p>
      <w:pPr>
        <w:spacing w:line="360" w:lineRule="auto"/>
        <w:ind w:firstLine="420" w:firstLineChars="200"/>
        <w:rPr>
          <w:bCs/>
          <w:szCs w:val="21"/>
        </w:rPr>
      </w:pPr>
      <w:r>
        <w:rPr>
          <w:rFonts w:hint="eastAsia"/>
          <w:bCs/>
          <w:szCs w:val="21"/>
        </w:rPr>
        <w:t>广发卡广州</w:t>
      </w:r>
      <w:r>
        <w:rPr>
          <w:rFonts w:hint="eastAsia"/>
          <w:bCs/>
          <w:szCs w:val="21"/>
        </w:rPr>
        <w:tab/>
      </w:r>
      <w:r>
        <w:rPr>
          <w:rFonts w:hint="eastAsia"/>
          <w:bCs/>
          <w:szCs w:val="21"/>
        </w:rPr>
        <w:t>gfk-gz</w:t>
      </w:r>
    </w:p>
    <w:p>
      <w:pPr>
        <w:spacing w:line="360" w:lineRule="auto"/>
        <w:ind w:firstLine="420" w:firstLineChars="200"/>
        <w:rPr>
          <w:bCs/>
          <w:szCs w:val="21"/>
        </w:rPr>
      </w:pPr>
      <w:r>
        <w:rPr>
          <w:rFonts w:hint="eastAsia"/>
          <w:bCs/>
          <w:szCs w:val="21"/>
        </w:rPr>
        <w:t>广发银行广州分行私人银行</w:t>
      </w:r>
      <w:r>
        <w:rPr>
          <w:rFonts w:hint="eastAsia"/>
          <w:bCs/>
          <w:szCs w:val="21"/>
        </w:rPr>
        <w:tab/>
      </w:r>
      <w:r>
        <w:rPr>
          <w:rFonts w:hint="eastAsia"/>
          <w:bCs/>
          <w:szCs w:val="21"/>
        </w:rPr>
        <w:t>cgbgzpb</w:t>
      </w:r>
    </w:p>
    <w:p>
      <w:pPr>
        <w:spacing w:line="360" w:lineRule="auto"/>
        <w:ind w:firstLine="420" w:firstLineChars="200"/>
        <w:rPr>
          <w:bCs/>
          <w:szCs w:val="21"/>
        </w:rPr>
      </w:pPr>
      <w:r>
        <w:rPr>
          <w:rFonts w:hint="eastAsia"/>
          <w:bCs/>
          <w:szCs w:val="21"/>
        </w:rPr>
        <w:t>广发信用卡广州</w:t>
      </w:r>
      <w:r>
        <w:rPr>
          <w:rFonts w:hint="eastAsia"/>
          <w:bCs/>
          <w:szCs w:val="21"/>
        </w:rPr>
        <w:tab/>
      </w:r>
      <w:r>
        <w:rPr>
          <w:rFonts w:hint="eastAsia"/>
          <w:bCs/>
          <w:szCs w:val="21"/>
        </w:rPr>
        <w:t>——</w:t>
      </w:r>
    </w:p>
    <w:p>
      <w:pPr>
        <w:spacing w:line="360" w:lineRule="auto"/>
        <w:ind w:firstLine="420" w:firstLineChars="200"/>
        <w:rPr>
          <w:bCs/>
          <w:szCs w:val="21"/>
        </w:rPr>
      </w:pPr>
      <w:r>
        <w:rPr>
          <w:rFonts w:hint="eastAsia"/>
          <w:bCs/>
          <w:szCs w:val="21"/>
        </w:rPr>
        <w:t>广发卡杭州</w:t>
      </w:r>
      <w:r>
        <w:rPr>
          <w:rFonts w:hint="eastAsia"/>
          <w:bCs/>
          <w:szCs w:val="21"/>
        </w:rPr>
        <w:tab/>
      </w:r>
      <w:r>
        <w:rPr>
          <w:rFonts w:hint="eastAsia"/>
          <w:bCs/>
          <w:szCs w:val="21"/>
        </w:rPr>
        <w:t>gfc-hz</w:t>
      </w:r>
    </w:p>
    <w:p>
      <w:pPr>
        <w:spacing w:line="360" w:lineRule="auto"/>
        <w:ind w:firstLine="420" w:firstLineChars="200"/>
        <w:rPr>
          <w:bCs/>
          <w:szCs w:val="21"/>
        </w:rPr>
      </w:pPr>
      <w:r>
        <w:rPr>
          <w:rFonts w:hint="eastAsia"/>
          <w:bCs/>
          <w:szCs w:val="21"/>
        </w:rPr>
        <w:t>广发卡杭州</w:t>
      </w:r>
      <w:r>
        <w:rPr>
          <w:rFonts w:hint="eastAsia"/>
          <w:bCs/>
          <w:szCs w:val="21"/>
        </w:rPr>
        <w:tab/>
      </w:r>
      <w:r>
        <w:rPr>
          <w:rFonts w:hint="eastAsia"/>
          <w:bCs/>
          <w:szCs w:val="21"/>
        </w:rPr>
        <w:t>1823934517</w:t>
      </w:r>
    </w:p>
    <w:p>
      <w:pPr>
        <w:spacing w:line="360" w:lineRule="auto"/>
        <w:ind w:firstLine="420" w:firstLineChars="200"/>
        <w:rPr>
          <w:bCs/>
          <w:szCs w:val="21"/>
        </w:rPr>
      </w:pPr>
      <w:r>
        <w:rPr>
          <w:rFonts w:hint="eastAsia"/>
          <w:bCs/>
          <w:szCs w:val="21"/>
        </w:rPr>
        <w:t>广发银行杭州分行</w:t>
      </w:r>
      <w:r>
        <w:rPr>
          <w:rFonts w:hint="eastAsia"/>
          <w:bCs/>
          <w:szCs w:val="21"/>
        </w:rPr>
        <w:tab/>
      </w:r>
      <w:r>
        <w:rPr>
          <w:rFonts w:hint="eastAsia"/>
          <w:bCs/>
          <w:szCs w:val="21"/>
        </w:rPr>
        <w:t>gfhz-wljr</w:t>
      </w:r>
    </w:p>
    <w:p>
      <w:pPr>
        <w:spacing w:line="360" w:lineRule="auto"/>
        <w:ind w:firstLine="420" w:firstLineChars="200"/>
        <w:rPr>
          <w:bCs/>
          <w:szCs w:val="21"/>
        </w:rPr>
      </w:pPr>
      <w:r>
        <w:rPr>
          <w:rFonts w:hint="eastAsia"/>
          <w:bCs/>
          <w:szCs w:val="21"/>
        </w:rPr>
        <w:t>广发银行杭州分行</w:t>
      </w:r>
      <w:r>
        <w:rPr>
          <w:rFonts w:hint="eastAsia"/>
          <w:bCs/>
          <w:szCs w:val="21"/>
        </w:rPr>
        <w:tab/>
      </w:r>
      <w:r>
        <w:rPr>
          <w:rFonts w:hint="eastAsia"/>
          <w:bCs/>
          <w:szCs w:val="21"/>
        </w:rPr>
        <w:t>gh_8e99e7abf569</w:t>
      </w:r>
    </w:p>
    <w:p>
      <w:pPr>
        <w:spacing w:line="360" w:lineRule="auto"/>
        <w:ind w:firstLine="420" w:firstLineChars="200"/>
        <w:rPr>
          <w:bCs/>
          <w:szCs w:val="21"/>
        </w:rPr>
      </w:pPr>
      <w:r>
        <w:rPr>
          <w:rFonts w:hint="eastAsia"/>
          <w:bCs/>
          <w:szCs w:val="21"/>
        </w:rPr>
        <w:t>广发卡温州</w:t>
      </w:r>
      <w:r>
        <w:rPr>
          <w:rFonts w:hint="eastAsia"/>
          <w:bCs/>
          <w:szCs w:val="21"/>
        </w:rPr>
        <w:tab/>
      </w:r>
      <w:r>
        <w:rPr>
          <w:rFonts w:hint="eastAsia"/>
          <w:bCs/>
          <w:szCs w:val="21"/>
        </w:rPr>
        <w:t>gf88891162</w:t>
      </w:r>
    </w:p>
    <w:p>
      <w:pPr>
        <w:spacing w:line="360" w:lineRule="auto"/>
        <w:ind w:firstLine="420" w:firstLineChars="200"/>
        <w:rPr>
          <w:bCs/>
          <w:szCs w:val="21"/>
        </w:rPr>
      </w:pPr>
      <w:r>
        <w:rPr>
          <w:rFonts w:hint="eastAsia"/>
          <w:bCs/>
          <w:szCs w:val="21"/>
        </w:rPr>
        <w:t>广发卡台州</w:t>
      </w:r>
      <w:r>
        <w:rPr>
          <w:rFonts w:hint="eastAsia"/>
          <w:bCs/>
          <w:szCs w:val="21"/>
        </w:rPr>
        <w:tab/>
      </w:r>
      <w:r>
        <w:rPr>
          <w:rFonts w:hint="eastAsia"/>
          <w:bCs/>
          <w:szCs w:val="21"/>
        </w:rPr>
        <w:t>gft95508</w:t>
      </w:r>
    </w:p>
    <w:p>
      <w:pPr>
        <w:spacing w:line="360" w:lineRule="auto"/>
        <w:ind w:firstLine="420" w:firstLineChars="200"/>
        <w:rPr>
          <w:bCs/>
          <w:szCs w:val="21"/>
        </w:rPr>
      </w:pPr>
      <w:r>
        <w:rPr>
          <w:rFonts w:hint="eastAsia"/>
          <w:bCs/>
          <w:szCs w:val="21"/>
        </w:rPr>
        <w:t>广发银行深圳零售金融</w:t>
      </w:r>
      <w:r>
        <w:rPr>
          <w:rFonts w:hint="eastAsia"/>
          <w:bCs/>
          <w:szCs w:val="21"/>
        </w:rPr>
        <w:tab/>
      </w:r>
      <w:r>
        <w:rPr>
          <w:rFonts w:hint="eastAsia"/>
          <w:bCs/>
          <w:szCs w:val="21"/>
        </w:rPr>
        <w:t>CGB_SZ</w:t>
      </w:r>
    </w:p>
    <w:p>
      <w:pPr>
        <w:spacing w:line="360" w:lineRule="auto"/>
        <w:ind w:firstLine="420" w:firstLineChars="200"/>
        <w:rPr>
          <w:bCs/>
          <w:szCs w:val="21"/>
        </w:rPr>
      </w:pPr>
      <w:r>
        <w:rPr>
          <w:rFonts w:hint="eastAsia"/>
          <w:bCs/>
          <w:szCs w:val="21"/>
        </w:rPr>
        <w:t>广发卡上海</w:t>
      </w:r>
      <w:r>
        <w:rPr>
          <w:rFonts w:hint="eastAsia"/>
          <w:bCs/>
          <w:szCs w:val="21"/>
        </w:rPr>
        <w:tab/>
      </w:r>
      <w:r>
        <w:rPr>
          <w:rFonts w:hint="eastAsia"/>
          <w:bCs/>
          <w:szCs w:val="21"/>
        </w:rPr>
        <w:t>gfc-sh</w:t>
      </w:r>
    </w:p>
    <w:p>
      <w:pPr>
        <w:spacing w:line="360" w:lineRule="auto"/>
        <w:ind w:firstLine="420" w:firstLineChars="200"/>
        <w:rPr>
          <w:bCs/>
          <w:szCs w:val="21"/>
        </w:rPr>
      </w:pPr>
      <w:r>
        <w:rPr>
          <w:rFonts w:hint="eastAsia"/>
          <w:bCs/>
          <w:szCs w:val="21"/>
        </w:rPr>
        <w:t>广发银行上海私人银行</w:t>
      </w:r>
      <w:r>
        <w:rPr>
          <w:rFonts w:hint="eastAsia"/>
          <w:bCs/>
          <w:szCs w:val="21"/>
        </w:rPr>
        <w:tab/>
      </w:r>
      <w:r>
        <w:rPr>
          <w:rFonts w:hint="eastAsia"/>
          <w:bCs/>
          <w:szCs w:val="21"/>
        </w:rPr>
        <w:t>cgbpb_sh</w:t>
      </w:r>
    </w:p>
    <w:p>
      <w:pPr>
        <w:spacing w:line="360" w:lineRule="auto"/>
        <w:ind w:firstLine="420" w:firstLineChars="200"/>
        <w:rPr>
          <w:bCs/>
          <w:szCs w:val="21"/>
        </w:rPr>
      </w:pPr>
      <w:r>
        <w:rPr>
          <w:rFonts w:hint="eastAsia"/>
          <w:bCs/>
          <w:szCs w:val="21"/>
        </w:rPr>
        <w:t>广发卡南京</w:t>
      </w:r>
      <w:r>
        <w:rPr>
          <w:rFonts w:hint="eastAsia"/>
          <w:bCs/>
          <w:szCs w:val="21"/>
        </w:rPr>
        <w:tab/>
      </w:r>
      <w:r>
        <w:rPr>
          <w:rFonts w:hint="eastAsia"/>
          <w:bCs/>
          <w:szCs w:val="21"/>
        </w:rPr>
        <w:t>njgfk666666</w:t>
      </w:r>
    </w:p>
    <w:p>
      <w:pPr>
        <w:spacing w:line="360" w:lineRule="auto"/>
        <w:ind w:firstLine="420" w:firstLineChars="200"/>
        <w:rPr>
          <w:bCs/>
          <w:szCs w:val="21"/>
        </w:rPr>
      </w:pPr>
      <w:r>
        <w:rPr>
          <w:rFonts w:hint="eastAsia"/>
          <w:bCs/>
          <w:szCs w:val="21"/>
        </w:rPr>
        <w:t>广发卡郑州</w:t>
      </w:r>
      <w:r>
        <w:rPr>
          <w:rFonts w:hint="eastAsia"/>
          <w:bCs/>
          <w:szCs w:val="21"/>
        </w:rPr>
        <w:tab/>
      </w:r>
      <w:r>
        <w:rPr>
          <w:rFonts w:hint="eastAsia"/>
          <w:bCs/>
          <w:szCs w:val="21"/>
        </w:rPr>
        <w:t>ZZCGB95508</w:t>
      </w:r>
    </w:p>
    <w:p>
      <w:pPr>
        <w:spacing w:line="360" w:lineRule="auto"/>
        <w:ind w:firstLine="420" w:firstLineChars="200"/>
        <w:rPr>
          <w:bCs/>
          <w:szCs w:val="21"/>
        </w:rPr>
      </w:pPr>
      <w:r>
        <w:rPr>
          <w:rFonts w:hint="eastAsia"/>
          <w:bCs/>
          <w:szCs w:val="21"/>
        </w:rPr>
        <w:t>湖南广发银行</w:t>
      </w:r>
      <w:r>
        <w:rPr>
          <w:rFonts w:hint="eastAsia"/>
          <w:bCs/>
          <w:szCs w:val="21"/>
        </w:rPr>
        <w:tab/>
      </w:r>
      <w:r>
        <w:rPr>
          <w:rFonts w:hint="eastAsia"/>
          <w:bCs/>
          <w:szCs w:val="21"/>
        </w:rPr>
        <w:t>CGB_Hunan</w:t>
      </w:r>
    </w:p>
    <w:p>
      <w:pPr>
        <w:spacing w:line="360" w:lineRule="auto"/>
        <w:ind w:firstLine="420" w:firstLineChars="200"/>
        <w:rPr>
          <w:bCs/>
          <w:szCs w:val="21"/>
        </w:rPr>
      </w:pPr>
      <w:r>
        <w:rPr>
          <w:rFonts w:hint="eastAsia"/>
          <w:bCs/>
          <w:szCs w:val="21"/>
        </w:rPr>
        <w:t>广发银行湖南发布</w:t>
      </w:r>
      <w:r>
        <w:rPr>
          <w:rFonts w:hint="eastAsia"/>
          <w:bCs/>
          <w:szCs w:val="21"/>
        </w:rPr>
        <w:tab/>
      </w:r>
      <w:r>
        <w:rPr>
          <w:rFonts w:hint="eastAsia"/>
          <w:bCs/>
          <w:szCs w:val="21"/>
        </w:rPr>
        <w:t>gh_00cf0699d8fa</w:t>
      </w:r>
    </w:p>
    <w:p>
      <w:pPr>
        <w:spacing w:line="360" w:lineRule="auto"/>
        <w:ind w:firstLine="420" w:firstLineChars="200"/>
        <w:rPr>
          <w:bCs/>
          <w:szCs w:val="21"/>
        </w:rPr>
      </w:pPr>
      <w:r>
        <w:rPr>
          <w:rFonts w:hint="eastAsia"/>
          <w:bCs/>
          <w:szCs w:val="21"/>
        </w:rPr>
        <w:t>广发银行武汉分行</w:t>
      </w:r>
      <w:r>
        <w:rPr>
          <w:rFonts w:hint="eastAsia"/>
          <w:bCs/>
          <w:szCs w:val="21"/>
        </w:rPr>
        <w:tab/>
      </w:r>
      <w:r>
        <w:rPr>
          <w:rFonts w:hint="eastAsia"/>
          <w:bCs/>
          <w:szCs w:val="21"/>
        </w:rPr>
        <w:t>gh_8cc471450c5f</w:t>
      </w:r>
    </w:p>
    <w:p>
      <w:pPr>
        <w:spacing w:line="360" w:lineRule="auto"/>
        <w:ind w:firstLine="420" w:firstLineChars="200"/>
        <w:rPr>
          <w:bCs/>
          <w:szCs w:val="21"/>
        </w:rPr>
      </w:pPr>
      <w:r>
        <w:rPr>
          <w:rFonts w:hint="eastAsia"/>
          <w:bCs/>
          <w:szCs w:val="21"/>
        </w:rPr>
        <w:t>广发银行沈阳分行零售金融</w:t>
      </w:r>
      <w:r>
        <w:rPr>
          <w:rFonts w:hint="eastAsia"/>
          <w:bCs/>
          <w:szCs w:val="21"/>
        </w:rPr>
        <w:tab/>
      </w:r>
      <w:r>
        <w:rPr>
          <w:rFonts w:hint="eastAsia"/>
          <w:bCs/>
          <w:szCs w:val="21"/>
        </w:rPr>
        <w:t>gh_df42436ab9ca</w:t>
      </w:r>
    </w:p>
    <w:p>
      <w:pPr>
        <w:spacing w:line="360" w:lineRule="auto"/>
        <w:ind w:firstLine="420" w:firstLineChars="200"/>
        <w:rPr>
          <w:bCs/>
          <w:szCs w:val="21"/>
        </w:rPr>
      </w:pPr>
      <w:r>
        <w:rPr>
          <w:rFonts w:hint="eastAsia"/>
          <w:bCs/>
          <w:szCs w:val="21"/>
        </w:rPr>
        <w:t>广发银行沈阳分行</w:t>
      </w:r>
      <w:r>
        <w:rPr>
          <w:rFonts w:hint="eastAsia"/>
          <w:bCs/>
          <w:szCs w:val="21"/>
        </w:rPr>
        <w:tab/>
      </w:r>
      <w:r>
        <w:rPr>
          <w:rFonts w:hint="eastAsia"/>
          <w:bCs/>
          <w:szCs w:val="21"/>
        </w:rPr>
        <w:t>shenyangcgb</w:t>
      </w:r>
    </w:p>
    <w:p>
      <w:pPr>
        <w:spacing w:line="360" w:lineRule="auto"/>
        <w:ind w:firstLine="420" w:firstLineChars="200"/>
        <w:rPr>
          <w:bCs/>
          <w:szCs w:val="21"/>
        </w:rPr>
      </w:pPr>
      <w:r>
        <w:rPr>
          <w:rFonts w:hint="eastAsia"/>
          <w:bCs/>
          <w:szCs w:val="21"/>
        </w:rPr>
        <w:t>广发银行昆明</w:t>
      </w:r>
      <w:r>
        <w:rPr>
          <w:rFonts w:hint="eastAsia"/>
          <w:bCs/>
          <w:szCs w:val="21"/>
        </w:rPr>
        <w:tab/>
      </w:r>
      <w:r>
        <w:rPr>
          <w:rFonts w:hint="eastAsia"/>
          <w:bCs/>
          <w:szCs w:val="21"/>
        </w:rPr>
        <w:t>CGB-KM</w:t>
      </w:r>
    </w:p>
    <w:p>
      <w:pPr>
        <w:spacing w:line="360" w:lineRule="auto"/>
        <w:ind w:firstLine="420" w:firstLineChars="200"/>
        <w:rPr>
          <w:bCs/>
          <w:szCs w:val="21"/>
        </w:rPr>
      </w:pPr>
      <w:r>
        <w:rPr>
          <w:rFonts w:hint="eastAsia"/>
          <w:bCs/>
          <w:szCs w:val="21"/>
        </w:rPr>
        <w:t>广发银行济南分行</w:t>
      </w:r>
      <w:r>
        <w:rPr>
          <w:rFonts w:hint="eastAsia"/>
          <w:bCs/>
          <w:szCs w:val="21"/>
        </w:rPr>
        <w:tab/>
      </w:r>
      <w:r>
        <w:rPr>
          <w:rFonts w:hint="eastAsia"/>
          <w:bCs/>
          <w:szCs w:val="21"/>
        </w:rPr>
        <w:t>cgb-jn</w:t>
      </w:r>
    </w:p>
    <w:p>
      <w:pPr>
        <w:spacing w:line="360" w:lineRule="auto"/>
        <w:ind w:firstLine="420" w:firstLineChars="200"/>
        <w:rPr>
          <w:bCs/>
          <w:szCs w:val="21"/>
        </w:rPr>
      </w:pPr>
      <w:r>
        <w:rPr>
          <w:rFonts w:hint="eastAsia"/>
          <w:bCs/>
          <w:szCs w:val="21"/>
        </w:rPr>
        <w:t>广发银行宁波分行</w:t>
      </w:r>
      <w:r>
        <w:rPr>
          <w:rFonts w:hint="eastAsia"/>
          <w:bCs/>
          <w:szCs w:val="21"/>
        </w:rPr>
        <w:tab/>
      </w:r>
      <w:r>
        <w:rPr>
          <w:rFonts w:hint="eastAsia"/>
          <w:bCs/>
          <w:szCs w:val="21"/>
        </w:rPr>
        <w:t>gfk-nb</w:t>
      </w:r>
    </w:p>
    <w:p>
      <w:pPr>
        <w:spacing w:line="360" w:lineRule="auto"/>
        <w:ind w:firstLine="420" w:firstLineChars="200"/>
        <w:rPr>
          <w:bCs/>
          <w:szCs w:val="21"/>
        </w:rPr>
      </w:pPr>
      <w:r>
        <w:rPr>
          <w:rFonts w:hint="eastAsia"/>
          <w:bCs/>
          <w:szCs w:val="21"/>
        </w:rPr>
        <w:t>广发银行成都分行</w:t>
      </w:r>
      <w:r>
        <w:rPr>
          <w:rFonts w:hint="eastAsia"/>
          <w:bCs/>
          <w:szCs w:val="21"/>
        </w:rPr>
        <w:tab/>
      </w:r>
      <w:r>
        <w:rPr>
          <w:rFonts w:hint="eastAsia"/>
          <w:bCs/>
          <w:szCs w:val="21"/>
        </w:rPr>
        <w:t>CGB_CD</w:t>
      </w:r>
    </w:p>
    <w:p>
      <w:pPr>
        <w:spacing w:line="360" w:lineRule="auto"/>
        <w:ind w:firstLine="420" w:firstLineChars="200"/>
        <w:rPr>
          <w:bCs/>
          <w:szCs w:val="21"/>
        </w:rPr>
      </w:pPr>
      <w:r>
        <w:rPr>
          <w:rFonts w:hint="eastAsia"/>
          <w:bCs/>
          <w:szCs w:val="21"/>
        </w:rPr>
        <w:t>广发卡成都分行</w:t>
      </w:r>
      <w:r>
        <w:rPr>
          <w:rFonts w:hint="eastAsia"/>
          <w:bCs/>
          <w:szCs w:val="21"/>
        </w:rPr>
        <w:tab/>
      </w:r>
      <w:r>
        <w:rPr>
          <w:rFonts w:hint="eastAsia"/>
          <w:bCs/>
          <w:szCs w:val="21"/>
        </w:rPr>
        <w:t>cgbchina_cd</w:t>
      </w:r>
    </w:p>
    <w:p>
      <w:pPr>
        <w:spacing w:line="360" w:lineRule="auto"/>
        <w:ind w:firstLine="420" w:firstLineChars="200"/>
        <w:rPr>
          <w:bCs/>
          <w:szCs w:val="21"/>
        </w:rPr>
      </w:pPr>
      <w:r>
        <w:rPr>
          <w:rFonts w:hint="eastAsia"/>
          <w:bCs/>
          <w:szCs w:val="21"/>
        </w:rPr>
        <w:t>广发银行合肥分行</w:t>
      </w:r>
      <w:r>
        <w:rPr>
          <w:rFonts w:hint="eastAsia"/>
          <w:bCs/>
          <w:szCs w:val="21"/>
        </w:rPr>
        <w:tab/>
      </w:r>
      <w:r>
        <w:rPr>
          <w:rFonts w:hint="eastAsia"/>
          <w:bCs/>
          <w:szCs w:val="21"/>
        </w:rPr>
        <w:t>cgbhf-95508</w:t>
      </w:r>
    </w:p>
    <w:p>
      <w:pPr>
        <w:spacing w:line="360" w:lineRule="auto"/>
        <w:ind w:firstLine="420" w:firstLineChars="200"/>
        <w:rPr>
          <w:bCs/>
          <w:szCs w:val="21"/>
        </w:rPr>
      </w:pPr>
      <w:r>
        <w:rPr>
          <w:rFonts w:hint="eastAsia"/>
          <w:bCs/>
          <w:szCs w:val="21"/>
        </w:rPr>
        <w:t>广发银行哈尔滨分行</w:t>
      </w:r>
      <w:r>
        <w:rPr>
          <w:rFonts w:hint="eastAsia"/>
          <w:bCs/>
          <w:szCs w:val="21"/>
        </w:rPr>
        <w:tab/>
      </w:r>
      <w:r>
        <w:rPr>
          <w:rFonts w:hint="eastAsia"/>
          <w:bCs/>
          <w:szCs w:val="21"/>
        </w:rPr>
        <w:t>CGB123453061</w:t>
      </w:r>
    </w:p>
    <w:p>
      <w:pPr>
        <w:spacing w:line="360" w:lineRule="auto"/>
        <w:ind w:firstLine="420" w:firstLineChars="200"/>
        <w:rPr>
          <w:bCs/>
          <w:szCs w:val="21"/>
        </w:rPr>
      </w:pPr>
      <w:r>
        <w:rPr>
          <w:rFonts w:hint="eastAsia"/>
          <w:bCs/>
          <w:szCs w:val="21"/>
        </w:rPr>
        <w:t>广发银行西安分行</w:t>
      </w:r>
      <w:r>
        <w:rPr>
          <w:rFonts w:hint="eastAsia"/>
          <w:bCs/>
          <w:szCs w:val="21"/>
        </w:rPr>
        <w:tab/>
      </w:r>
      <w:r>
        <w:rPr>
          <w:rFonts w:hint="eastAsia"/>
          <w:bCs/>
          <w:szCs w:val="21"/>
        </w:rPr>
        <w:t>CGB-XA</w:t>
      </w:r>
    </w:p>
    <w:p>
      <w:pPr>
        <w:spacing w:line="360" w:lineRule="auto"/>
        <w:ind w:firstLine="420" w:firstLineChars="200"/>
        <w:rPr>
          <w:bCs/>
          <w:szCs w:val="21"/>
        </w:rPr>
      </w:pPr>
      <w:r>
        <w:rPr>
          <w:rFonts w:hint="eastAsia"/>
          <w:bCs/>
          <w:szCs w:val="21"/>
        </w:rPr>
        <w:t>广发银行石家庄</w:t>
      </w:r>
      <w:r>
        <w:rPr>
          <w:rFonts w:hint="eastAsia"/>
          <w:bCs/>
          <w:szCs w:val="21"/>
        </w:rPr>
        <w:tab/>
      </w:r>
      <w:r>
        <w:rPr>
          <w:rFonts w:hint="eastAsia"/>
          <w:bCs/>
          <w:szCs w:val="21"/>
        </w:rPr>
        <w:t>gd_297c93532f6d</w:t>
      </w:r>
    </w:p>
    <w:p>
      <w:pPr>
        <w:spacing w:line="360" w:lineRule="auto"/>
        <w:ind w:firstLine="420" w:firstLineChars="200"/>
        <w:rPr>
          <w:bCs/>
          <w:szCs w:val="21"/>
        </w:rPr>
      </w:pPr>
      <w:r>
        <w:rPr>
          <w:rFonts w:hint="eastAsia"/>
          <w:bCs/>
          <w:szCs w:val="21"/>
        </w:rPr>
        <w:t>广发银行大连零售金融</w:t>
      </w:r>
      <w:r>
        <w:rPr>
          <w:rFonts w:hint="eastAsia"/>
          <w:bCs/>
          <w:szCs w:val="21"/>
        </w:rPr>
        <w:tab/>
      </w:r>
      <w:r>
        <w:rPr>
          <w:rFonts w:hint="eastAsia"/>
          <w:bCs/>
          <w:szCs w:val="21"/>
        </w:rPr>
        <w:t>gh_49a30151b98e</w:t>
      </w:r>
    </w:p>
    <w:p>
      <w:pPr>
        <w:spacing w:line="360" w:lineRule="auto"/>
        <w:ind w:firstLine="420" w:firstLineChars="200"/>
        <w:rPr>
          <w:bCs/>
          <w:szCs w:val="21"/>
        </w:rPr>
      </w:pPr>
      <w:r>
        <w:rPr>
          <w:rFonts w:hint="eastAsia"/>
          <w:bCs/>
          <w:szCs w:val="21"/>
        </w:rPr>
        <w:t>广发银行大连分行</w:t>
      </w:r>
      <w:r>
        <w:rPr>
          <w:rFonts w:hint="eastAsia"/>
          <w:bCs/>
          <w:szCs w:val="21"/>
        </w:rPr>
        <w:tab/>
      </w:r>
      <w:r>
        <w:rPr>
          <w:rFonts w:hint="eastAsia"/>
          <w:bCs/>
          <w:szCs w:val="21"/>
        </w:rPr>
        <w:t>gh_299c9883714b</w:t>
      </w:r>
    </w:p>
    <w:p>
      <w:pPr>
        <w:spacing w:line="360" w:lineRule="auto"/>
        <w:ind w:firstLine="420" w:firstLineChars="200"/>
        <w:rPr>
          <w:bCs/>
          <w:szCs w:val="21"/>
        </w:rPr>
      </w:pPr>
      <w:r>
        <w:rPr>
          <w:rFonts w:hint="eastAsia"/>
          <w:bCs/>
          <w:szCs w:val="21"/>
        </w:rPr>
        <w:t>广发卡-乌鲁木齐</w:t>
      </w:r>
      <w:r>
        <w:rPr>
          <w:rFonts w:hint="eastAsia"/>
          <w:bCs/>
          <w:szCs w:val="21"/>
        </w:rPr>
        <w:tab/>
      </w:r>
      <w:r>
        <w:rPr>
          <w:rFonts w:hint="eastAsia"/>
          <w:bCs/>
          <w:szCs w:val="21"/>
        </w:rPr>
        <w:t>gh_194ee562aad3</w:t>
      </w:r>
    </w:p>
    <w:p>
      <w:pPr>
        <w:spacing w:line="360" w:lineRule="auto"/>
        <w:ind w:firstLine="420" w:firstLineChars="200"/>
        <w:rPr>
          <w:bCs/>
          <w:szCs w:val="21"/>
        </w:rPr>
      </w:pPr>
      <w:r>
        <w:rPr>
          <w:rFonts w:hint="eastAsia"/>
          <w:bCs/>
          <w:szCs w:val="21"/>
        </w:rPr>
        <w:t>广发银行重庆分行</w:t>
      </w:r>
      <w:r>
        <w:rPr>
          <w:rFonts w:hint="eastAsia"/>
          <w:bCs/>
          <w:szCs w:val="21"/>
        </w:rPr>
        <w:tab/>
      </w:r>
      <w:r>
        <w:rPr>
          <w:rFonts w:hint="eastAsia"/>
          <w:bCs/>
          <w:szCs w:val="21"/>
        </w:rPr>
        <w:t>CGB-CQ</w:t>
      </w:r>
    </w:p>
    <w:p>
      <w:pPr>
        <w:spacing w:line="360" w:lineRule="auto"/>
        <w:ind w:firstLine="420" w:firstLineChars="200"/>
        <w:rPr>
          <w:bCs/>
          <w:szCs w:val="21"/>
        </w:rPr>
      </w:pPr>
      <w:r>
        <w:rPr>
          <w:rFonts w:hint="eastAsia"/>
          <w:bCs/>
          <w:szCs w:val="21"/>
        </w:rPr>
        <w:t>广发银行南昌分行</w:t>
      </w:r>
      <w:r>
        <w:rPr>
          <w:rFonts w:hint="eastAsia"/>
          <w:bCs/>
          <w:szCs w:val="21"/>
        </w:rPr>
        <w:tab/>
      </w:r>
      <w:r>
        <w:rPr>
          <w:rFonts w:hint="eastAsia"/>
          <w:bCs/>
          <w:szCs w:val="21"/>
        </w:rPr>
        <w:t>gh_68f71d9127bb</w:t>
      </w:r>
    </w:p>
    <w:p>
      <w:pPr>
        <w:spacing w:line="360" w:lineRule="auto"/>
        <w:ind w:firstLine="420" w:firstLineChars="200"/>
        <w:rPr>
          <w:bCs/>
          <w:szCs w:val="21"/>
        </w:rPr>
      </w:pPr>
      <w:r>
        <w:rPr>
          <w:rFonts w:hint="eastAsia"/>
          <w:bCs/>
          <w:szCs w:val="21"/>
        </w:rPr>
        <w:t>广发卡南昌</w:t>
      </w:r>
      <w:r>
        <w:rPr>
          <w:rFonts w:hint="eastAsia"/>
          <w:bCs/>
          <w:szCs w:val="21"/>
        </w:rPr>
        <w:tab/>
      </w:r>
      <w:r>
        <w:rPr>
          <w:rFonts w:hint="eastAsia"/>
          <w:bCs/>
          <w:szCs w:val="21"/>
        </w:rPr>
        <w:t>gh_54bfac84b433</w:t>
      </w:r>
    </w:p>
    <w:p>
      <w:pPr>
        <w:spacing w:line="360" w:lineRule="auto"/>
        <w:ind w:firstLine="420" w:firstLineChars="200"/>
        <w:rPr>
          <w:bCs/>
          <w:szCs w:val="21"/>
        </w:rPr>
      </w:pPr>
      <w:r>
        <w:rPr>
          <w:rFonts w:hint="eastAsia"/>
          <w:bCs/>
          <w:szCs w:val="21"/>
        </w:rPr>
        <w:t>广发银行南宁分行</w:t>
      </w:r>
      <w:r>
        <w:rPr>
          <w:rFonts w:hint="eastAsia"/>
          <w:bCs/>
          <w:szCs w:val="21"/>
        </w:rPr>
        <w:tab/>
      </w:r>
      <w:r>
        <w:rPr>
          <w:rFonts w:hint="eastAsia"/>
          <w:bCs/>
          <w:szCs w:val="21"/>
        </w:rPr>
        <w:t>gh_be3c1e722d27</w:t>
      </w:r>
    </w:p>
    <w:p>
      <w:pPr>
        <w:spacing w:line="360" w:lineRule="auto"/>
        <w:ind w:firstLine="420" w:firstLineChars="200"/>
        <w:rPr>
          <w:bCs/>
          <w:szCs w:val="21"/>
        </w:rPr>
      </w:pPr>
      <w:r>
        <w:rPr>
          <w:rFonts w:hint="eastAsia"/>
          <w:bCs/>
          <w:szCs w:val="21"/>
        </w:rPr>
        <w:t>广发银行南宁个人金融</w:t>
      </w:r>
      <w:r>
        <w:rPr>
          <w:rFonts w:hint="eastAsia"/>
          <w:bCs/>
          <w:szCs w:val="21"/>
        </w:rPr>
        <w:tab/>
      </w:r>
      <w:r>
        <w:rPr>
          <w:rFonts w:hint="eastAsia"/>
          <w:bCs/>
          <w:szCs w:val="21"/>
        </w:rPr>
        <w:t>CGB_Nanning</w:t>
      </w:r>
    </w:p>
    <w:p>
      <w:pPr>
        <w:spacing w:line="360" w:lineRule="auto"/>
        <w:ind w:firstLine="420" w:firstLineChars="200"/>
        <w:rPr>
          <w:bCs/>
          <w:szCs w:val="21"/>
        </w:rPr>
      </w:pPr>
      <w:r>
        <w:rPr>
          <w:rFonts w:hint="eastAsia"/>
          <w:bCs/>
          <w:szCs w:val="21"/>
        </w:rPr>
        <w:t>广发银行CGB福建</w:t>
      </w:r>
      <w:r>
        <w:rPr>
          <w:rFonts w:hint="eastAsia"/>
          <w:bCs/>
          <w:szCs w:val="21"/>
        </w:rPr>
        <w:tab/>
      </w:r>
      <w:r>
        <w:rPr>
          <w:rFonts w:hint="eastAsia"/>
          <w:bCs/>
          <w:szCs w:val="21"/>
        </w:rPr>
        <w:t>gfyhfzfh</w:t>
      </w:r>
    </w:p>
    <w:p>
      <w:pPr>
        <w:spacing w:line="360" w:lineRule="auto"/>
        <w:ind w:firstLine="420" w:firstLineChars="200"/>
        <w:rPr>
          <w:bCs/>
          <w:szCs w:val="21"/>
        </w:rPr>
      </w:pPr>
      <w:r>
        <w:rPr>
          <w:rFonts w:hint="eastAsia"/>
          <w:bCs/>
          <w:szCs w:val="21"/>
        </w:rPr>
        <w:t>广发银行太原分行</w:t>
      </w:r>
      <w:r>
        <w:rPr>
          <w:rFonts w:hint="eastAsia"/>
          <w:bCs/>
          <w:szCs w:val="21"/>
        </w:rPr>
        <w:tab/>
      </w:r>
      <w:r>
        <w:rPr>
          <w:rFonts w:hint="eastAsia"/>
          <w:bCs/>
          <w:szCs w:val="21"/>
        </w:rPr>
        <w:t>gh-de53c9f21553</w:t>
      </w:r>
    </w:p>
    <w:p>
      <w:pPr>
        <w:spacing w:line="360" w:lineRule="auto"/>
        <w:ind w:firstLine="420" w:firstLineChars="200"/>
        <w:rPr>
          <w:bCs/>
          <w:szCs w:val="21"/>
        </w:rPr>
      </w:pPr>
      <w:r>
        <w:rPr>
          <w:rFonts w:hint="eastAsia"/>
          <w:bCs/>
          <w:szCs w:val="21"/>
        </w:rPr>
        <w:t>广发银行长春分行</w:t>
      </w:r>
      <w:r>
        <w:rPr>
          <w:rFonts w:hint="eastAsia"/>
          <w:bCs/>
          <w:szCs w:val="21"/>
        </w:rPr>
        <w:tab/>
      </w:r>
      <w:r>
        <w:rPr>
          <w:rFonts w:hint="eastAsia"/>
          <w:bCs/>
          <w:szCs w:val="21"/>
        </w:rPr>
        <w:t>gh_1f2ea627d379</w:t>
      </w:r>
    </w:p>
    <w:p>
      <w:pPr>
        <w:spacing w:line="360" w:lineRule="auto"/>
        <w:ind w:firstLine="420" w:firstLineChars="200"/>
        <w:rPr>
          <w:bCs/>
          <w:szCs w:val="21"/>
        </w:rPr>
      </w:pPr>
      <w:r>
        <w:rPr>
          <w:rFonts w:hint="eastAsia"/>
          <w:bCs/>
          <w:szCs w:val="21"/>
        </w:rPr>
        <w:t>广发银行天津</w:t>
      </w:r>
      <w:r>
        <w:rPr>
          <w:rFonts w:hint="eastAsia"/>
          <w:bCs/>
          <w:szCs w:val="21"/>
        </w:rPr>
        <w:tab/>
      </w:r>
      <w:r>
        <w:rPr>
          <w:rFonts w:hint="eastAsia"/>
          <w:bCs/>
          <w:szCs w:val="21"/>
        </w:rPr>
        <w:t>cgbcard-tj</w:t>
      </w:r>
    </w:p>
    <w:p>
      <w:pPr>
        <w:spacing w:line="360" w:lineRule="auto"/>
        <w:ind w:firstLine="420" w:firstLineChars="200"/>
        <w:rPr>
          <w:bCs/>
          <w:szCs w:val="21"/>
        </w:rPr>
      </w:pPr>
      <w:r>
        <w:rPr>
          <w:rFonts w:hint="eastAsia"/>
          <w:bCs/>
          <w:szCs w:val="21"/>
        </w:rPr>
        <w:t>广发银行东莞分行</w:t>
      </w:r>
      <w:r>
        <w:rPr>
          <w:rFonts w:hint="eastAsia"/>
          <w:bCs/>
          <w:szCs w:val="21"/>
        </w:rPr>
        <w:tab/>
      </w:r>
      <w:r>
        <w:rPr>
          <w:rFonts w:hint="eastAsia"/>
          <w:bCs/>
          <w:szCs w:val="21"/>
        </w:rPr>
        <w:t>GFKXZS</w:t>
      </w:r>
    </w:p>
    <w:p>
      <w:pPr>
        <w:spacing w:line="360" w:lineRule="auto"/>
        <w:ind w:firstLine="420" w:firstLineChars="200"/>
        <w:rPr>
          <w:bCs/>
          <w:szCs w:val="21"/>
        </w:rPr>
      </w:pPr>
      <w:r>
        <w:rPr>
          <w:rFonts w:hint="eastAsia"/>
          <w:bCs/>
          <w:szCs w:val="21"/>
        </w:rPr>
        <w:t>广发信用卡东莞</w:t>
      </w:r>
      <w:r>
        <w:rPr>
          <w:rFonts w:hint="eastAsia"/>
          <w:bCs/>
          <w:szCs w:val="21"/>
        </w:rPr>
        <w:tab/>
      </w:r>
      <w:r>
        <w:rPr>
          <w:rFonts w:hint="eastAsia"/>
          <w:bCs/>
          <w:szCs w:val="21"/>
        </w:rPr>
        <w:t>CGB-DGXF</w:t>
      </w:r>
    </w:p>
    <w:p>
      <w:pPr>
        <w:spacing w:line="360" w:lineRule="auto"/>
        <w:ind w:firstLine="420" w:firstLineChars="200"/>
        <w:rPr>
          <w:bCs/>
          <w:szCs w:val="21"/>
        </w:rPr>
      </w:pPr>
      <w:r>
        <w:rPr>
          <w:rFonts w:hint="eastAsia"/>
          <w:bCs/>
          <w:szCs w:val="21"/>
        </w:rPr>
        <w:t>广发银行佛山分行</w:t>
      </w:r>
      <w:r>
        <w:rPr>
          <w:rFonts w:hint="eastAsia"/>
          <w:bCs/>
          <w:szCs w:val="21"/>
        </w:rPr>
        <w:tab/>
      </w:r>
      <w:r>
        <w:rPr>
          <w:rFonts w:hint="eastAsia"/>
          <w:bCs/>
          <w:szCs w:val="21"/>
        </w:rPr>
        <w:t>CGBFSFH</w:t>
      </w:r>
    </w:p>
    <w:p>
      <w:pPr>
        <w:spacing w:line="360" w:lineRule="auto"/>
        <w:ind w:firstLine="420" w:firstLineChars="200"/>
        <w:rPr>
          <w:bCs/>
          <w:szCs w:val="21"/>
        </w:rPr>
      </w:pPr>
      <w:r>
        <w:rPr>
          <w:rFonts w:hint="eastAsia"/>
          <w:bCs/>
          <w:szCs w:val="21"/>
        </w:rPr>
        <w:t>拍说</w:t>
      </w:r>
      <w:r>
        <w:rPr>
          <w:rFonts w:hint="eastAsia"/>
          <w:bCs/>
          <w:szCs w:val="21"/>
        </w:rPr>
        <w:tab/>
      </w:r>
      <w:r>
        <w:rPr>
          <w:rFonts w:hint="eastAsia"/>
          <w:bCs/>
          <w:szCs w:val="21"/>
        </w:rPr>
        <w:t>gf_f111282b8821</w:t>
      </w:r>
    </w:p>
    <w:p>
      <w:pPr>
        <w:spacing w:line="360" w:lineRule="auto"/>
        <w:ind w:firstLine="420" w:firstLineChars="200"/>
        <w:rPr>
          <w:bCs/>
          <w:szCs w:val="21"/>
        </w:rPr>
      </w:pPr>
      <w:r>
        <w:rPr>
          <w:rFonts w:hint="eastAsia"/>
          <w:bCs/>
          <w:szCs w:val="21"/>
        </w:rPr>
        <w:t>广发银行佛山分行零售金融</w:t>
      </w:r>
      <w:r>
        <w:rPr>
          <w:rFonts w:hint="eastAsia"/>
          <w:bCs/>
          <w:szCs w:val="21"/>
        </w:rPr>
        <w:tab/>
      </w:r>
      <w:r>
        <w:rPr>
          <w:rFonts w:hint="eastAsia"/>
          <w:bCs/>
          <w:szCs w:val="21"/>
        </w:rPr>
        <w:t>gfk-fs</w:t>
      </w:r>
    </w:p>
    <w:p>
      <w:pPr>
        <w:spacing w:line="360" w:lineRule="auto"/>
        <w:ind w:firstLine="420" w:firstLineChars="200"/>
        <w:rPr>
          <w:bCs/>
          <w:szCs w:val="21"/>
        </w:rPr>
      </w:pPr>
      <w:r>
        <w:rPr>
          <w:rFonts w:hint="eastAsia"/>
          <w:bCs/>
          <w:szCs w:val="21"/>
        </w:rPr>
        <w:t>广发卡中山</w:t>
      </w:r>
      <w:r>
        <w:rPr>
          <w:rFonts w:hint="eastAsia"/>
          <w:bCs/>
          <w:szCs w:val="21"/>
        </w:rPr>
        <w:tab/>
      </w:r>
      <w:r>
        <w:rPr>
          <w:rFonts w:hint="eastAsia"/>
          <w:bCs/>
          <w:szCs w:val="21"/>
        </w:rPr>
        <w:t>gfkzswx</w:t>
      </w:r>
    </w:p>
    <w:p>
      <w:pPr>
        <w:spacing w:line="360" w:lineRule="auto"/>
        <w:ind w:firstLine="420" w:firstLineChars="200"/>
        <w:rPr>
          <w:bCs/>
          <w:szCs w:val="21"/>
        </w:rPr>
      </w:pPr>
      <w:r>
        <w:rPr>
          <w:rFonts w:hint="eastAsia"/>
          <w:bCs/>
          <w:szCs w:val="21"/>
        </w:rPr>
        <w:t>广发银行中山分行微银行</w:t>
      </w:r>
      <w:r>
        <w:rPr>
          <w:rFonts w:hint="eastAsia"/>
          <w:bCs/>
          <w:szCs w:val="21"/>
        </w:rPr>
        <w:tab/>
      </w:r>
      <w:r>
        <w:rPr>
          <w:rFonts w:hint="eastAsia"/>
          <w:bCs/>
          <w:szCs w:val="21"/>
        </w:rPr>
        <w:t>gfyh0760</w:t>
      </w:r>
    </w:p>
    <w:p>
      <w:pPr>
        <w:spacing w:line="360" w:lineRule="auto"/>
        <w:ind w:firstLine="420" w:firstLineChars="200"/>
        <w:rPr>
          <w:bCs/>
          <w:szCs w:val="21"/>
        </w:rPr>
      </w:pPr>
      <w:r>
        <w:rPr>
          <w:rFonts w:hint="eastAsia"/>
          <w:bCs/>
          <w:szCs w:val="21"/>
        </w:rPr>
        <w:t>广发卡-惠州</w:t>
      </w:r>
      <w:r>
        <w:rPr>
          <w:rFonts w:hint="eastAsia"/>
          <w:bCs/>
          <w:szCs w:val="21"/>
        </w:rPr>
        <w:tab/>
      </w:r>
      <w:r>
        <w:rPr>
          <w:rFonts w:hint="eastAsia"/>
          <w:bCs/>
          <w:szCs w:val="21"/>
        </w:rPr>
        <w:t>gfk2119234</w:t>
      </w:r>
    </w:p>
    <w:p>
      <w:pPr>
        <w:spacing w:line="360" w:lineRule="auto"/>
        <w:ind w:firstLine="420" w:firstLineChars="200"/>
        <w:rPr>
          <w:bCs/>
          <w:szCs w:val="21"/>
        </w:rPr>
      </w:pPr>
      <w:r>
        <w:rPr>
          <w:rFonts w:hint="eastAsia"/>
          <w:bCs/>
          <w:szCs w:val="21"/>
        </w:rPr>
        <w:t>广发银行茂名分行</w:t>
      </w:r>
      <w:r>
        <w:rPr>
          <w:rFonts w:hint="eastAsia"/>
          <w:bCs/>
          <w:szCs w:val="21"/>
        </w:rPr>
        <w:tab/>
      </w:r>
      <w:r>
        <w:rPr>
          <w:rFonts w:hint="eastAsia"/>
          <w:bCs/>
          <w:szCs w:val="21"/>
        </w:rPr>
        <w:t>CGB-MM</w:t>
      </w:r>
    </w:p>
    <w:p>
      <w:pPr>
        <w:spacing w:line="360" w:lineRule="auto"/>
        <w:ind w:firstLine="420" w:firstLineChars="200"/>
        <w:rPr>
          <w:bCs/>
          <w:szCs w:val="21"/>
        </w:rPr>
      </w:pPr>
      <w:r>
        <w:rPr>
          <w:rFonts w:hint="eastAsia"/>
          <w:bCs/>
          <w:szCs w:val="21"/>
        </w:rPr>
        <w:t>广发卡茂名</w:t>
      </w:r>
      <w:r>
        <w:rPr>
          <w:rFonts w:hint="eastAsia"/>
          <w:bCs/>
          <w:szCs w:val="21"/>
        </w:rPr>
        <w:tab/>
      </w:r>
      <w:r>
        <w:rPr>
          <w:rFonts w:hint="eastAsia"/>
          <w:bCs/>
          <w:szCs w:val="21"/>
        </w:rPr>
        <w:t>gfk-mm</w:t>
      </w:r>
    </w:p>
    <w:p>
      <w:pPr>
        <w:spacing w:line="360" w:lineRule="auto"/>
        <w:ind w:firstLine="420" w:firstLineChars="200"/>
        <w:rPr>
          <w:bCs/>
          <w:szCs w:val="21"/>
        </w:rPr>
      </w:pPr>
      <w:r>
        <w:rPr>
          <w:rFonts w:hint="eastAsia"/>
          <w:bCs/>
          <w:szCs w:val="21"/>
        </w:rPr>
        <w:t>广发银行江门分行</w:t>
      </w:r>
      <w:r>
        <w:rPr>
          <w:rFonts w:hint="eastAsia"/>
          <w:bCs/>
          <w:szCs w:val="21"/>
        </w:rPr>
        <w:tab/>
      </w:r>
      <w:r>
        <w:rPr>
          <w:rFonts w:hint="eastAsia"/>
          <w:bCs/>
          <w:szCs w:val="21"/>
        </w:rPr>
        <w:t>gfk_jm</w:t>
      </w:r>
    </w:p>
    <w:p>
      <w:pPr>
        <w:spacing w:line="360" w:lineRule="auto"/>
        <w:ind w:firstLine="420" w:firstLineChars="200"/>
        <w:rPr>
          <w:bCs/>
          <w:szCs w:val="21"/>
        </w:rPr>
      </w:pPr>
      <w:r>
        <w:rPr>
          <w:rFonts w:hint="eastAsia"/>
          <w:bCs/>
          <w:szCs w:val="21"/>
        </w:rPr>
        <w:t>广发卡苏州</w:t>
      </w:r>
      <w:r>
        <w:rPr>
          <w:rFonts w:hint="eastAsia"/>
          <w:bCs/>
          <w:szCs w:val="21"/>
        </w:rPr>
        <w:tab/>
      </w:r>
      <w:r>
        <w:rPr>
          <w:rFonts w:hint="eastAsia"/>
          <w:bCs/>
          <w:szCs w:val="21"/>
        </w:rPr>
        <w:t>cgb-sz</w:t>
      </w:r>
    </w:p>
    <w:p>
      <w:pPr>
        <w:spacing w:line="360" w:lineRule="auto"/>
        <w:ind w:firstLine="420" w:firstLineChars="200"/>
        <w:rPr>
          <w:bCs/>
          <w:szCs w:val="21"/>
        </w:rPr>
      </w:pPr>
      <w:r>
        <w:rPr>
          <w:rFonts w:hint="eastAsia"/>
          <w:bCs/>
          <w:szCs w:val="21"/>
        </w:rPr>
        <w:t>广发卡大粤东</w:t>
      </w:r>
      <w:r>
        <w:rPr>
          <w:rFonts w:hint="eastAsia"/>
          <w:bCs/>
          <w:szCs w:val="21"/>
        </w:rPr>
        <w:tab/>
      </w:r>
      <w:r>
        <w:rPr>
          <w:rFonts w:hint="eastAsia"/>
          <w:bCs/>
          <w:szCs w:val="21"/>
        </w:rPr>
        <w:t>guangfaka_DYD</w:t>
      </w:r>
    </w:p>
    <w:p>
      <w:pPr>
        <w:spacing w:line="360" w:lineRule="auto"/>
        <w:ind w:firstLine="420" w:firstLineChars="200"/>
        <w:rPr>
          <w:bCs/>
          <w:szCs w:val="21"/>
        </w:rPr>
      </w:pPr>
      <w:r>
        <w:rPr>
          <w:rFonts w:hint="eastAsia"/>
          <w:bCs/>
          <w:szCs w:val="21"/>
        </w:rPr>
        <w:t>广发卡大潮汕</w:t>
      </w:r>
      <w:r>
        <w:rPr>
          <w:rFonts w:hint="eastAsia"/>
          <w:bCs/>
          <w:szCs w:val="21"/>
        </w:rPr>
        <w:tab/>
      </w:r>
      <w:r>
        <w:rPr>
          <w:rFonts w:hint="eastAsia"/>
          <w:bCs/>
          <w:szCs w:val="21"/>
        </w:rPr>
        <w:t>guangfaka_DCS</w:t>
      </w:r>
    </w:p>
    <w:p>
      <w:pPr>
        <w:spacing w:line="360" w:lineRule="auto"/>
        <w:ind w:firstLine="420" w:firstLineChars="200"/>
        <w:rPr>
          <w:bCs/>
          <w:szCs w:val="21"/>
        </w:rPr>
      </w:pPr>
      <w:r>
        <w:rPr>
          <w:rFonts w:hint="eastAsia"/>
          <w:bCs/>
          <w:szCs w:val="21"/>
        </w:rPr>
        <w:t>广发银行珠海分行</w:t>
      </w:r>
      <w:r>
        <w:rPr>
          <w:rFonts w:hint="eastAsia"/>
          <w:bCs/>
          <w:szCs w:val="21"/>
        </w:rPr>
        <w:tab/>
      </w:r>
      <w:r>
        <w:rPr>
          <w:rFonts w:hint="eastAsia"/>
          <w:bCs/>
          <w:szCs w:val="21"/>
        </w:rPr>
        <w:t>cgb-zh</w:t>
      </w:r>
    </w:p>
    <w:p>
      <w:pPr>
        <w:spacing w:line="360" w:lineRule="auto"/>
        <w:ind w:firstLine="420" w:firstLineChars="200"/>
        <w:rPr>
          <w:bCs/>
          <w:szCs w:val="21"/>
        </w:rPr>
      </w:pPr>
      <w:r>
        <w:rPr>
          <w:rFonts w:hint="eastAsia"/>
          <w:bCs/>
          <w:szCs w:val="21"/>
        </w:rPr>
        <w:t>广发肇庆智慧金融</w:t>
      </w:r>
      <w:r>
        <w:rPr>
          <w:rFonts w:hint="eastAsia"/>
          <w:bCs/>
          <w:szCs w:val="21"/>
        </w:rPr>
        <w:tab/>
      </w:r>
      <w:r>
        <w:rPr>
          <w:rFonts w:hint="eastAsia"/>
          <w:bCs/>
          <w:szCs w:val="21"/>
        </w:rPr>
        <w:t>guangfaka-zq</w:t>
      </w:r>
    </w:p>
    <w:p>
      <w:pPr>
        <w:spacing w:line="360" w:lineRule="auto"/>
        <w:ind w:firstLine="420" w:firstLineChars="200"/>
        <w:rPr>
          <w:bCs/>
          <w:szCs w:val="21"/>
        </w:rPr>
      </w:pPr>
      <w:r>
        <w:rPr>
          <w:rFonts w:hint="eastAsia"/>
          <w:bCs/>
          <w:szCs w:val="21"/>
        </w:rPr>
        <w:t>广发银行肇庆微理财</w:t>
      </w:r>
      <w:r>
        <w:rPr>
          <w:rFonts w:hint="eastAsia"/>
          <w:bCs/>
          <w:szCs w:val="21"/>
        </w:rPr>
        <w:tab/>
      </w:r>
      <w:r>
        <w:rPr>
          <w:rFonts w:hint="eastAsia"/>
          <w:bCs/>
          <w:szCs w:val="21"/>
        </w:rPr>
        <w:t>CGB_ZQ</w:t>
      </w:r>
    </w:p>
    <w:p>
      <w:pPr>
        <w:spacing w:line="360" w:lineRule="auto"/>
        <w:ind w:firstLine="420" w:firstLineChars="200"/>
        <w:rPr>
          <w:bCs/>
          <w:szCs w:val="21"/>
        </w:rPr>
      </w:pPr>
      <w:r>
        <w:rPr>
          <w:rFonts w:hint="eastAsia"/>
          <w:bCs/>
          <w:szCs w:val="21"/>
        </w:rPr>
        <w:t>广发银行梅州分行</w:t>
      </w:r>
      <w:r>
        <w:rPr>
          <w:rFonts w:hint="eastAsia"/>
          <w:bCs/>
          <w:szCs w:val="21"/>
        </w:rPr>
        <w:tab/>
      </w:r>
      <w:r>
        <w:rPr>
          <w:rFonts w:hint="eastAsia"/>
          <w:bCs/>
          <w:szCs w:val="21"/>
        </w:rPr>
        <w:t>gfxyk-mz</w:t>
      </w:r>
    </w:p>
    <w:p>
      <w:pPr>
        <w:spacing w:line="360" w:lineRule="auto"/>
        <w:ind w:firstLine="420" w:firstLineChars="200"/>
        <w:rPr>
          <w:bCs/>
          <w:szCs w:val="21"/>
        </w:rPr>
      </w:pPr>
      <w:r>
        <w:rPr>
          <w:rFonts w:hint="eastAsia"/>
          <w:bCs/>
          <w:szCs w:val="21"/>
        </w:rPr>
        <w:t>广发银行清远分行</w:t>
      </w:r>
      <w:r>
        <w:rPr>
          <w:rFonts w:hint="eastAsia"/>
          <w:bCs/>
          <w:szCs w:val="21"/>
        </w:rPr>
        <w:tab/>
      </w:r>
      <w:r>
        <w:rPr>
          <w:rFonts w:hint="eastAsia"/>
          <w:bCs/>
          <w:szCs w:val="21"/>
        </w:rPr>
        <w:t>CGB-QY</w:t>
      </w:r>
    </w:p>
    <w:p>
      <w:pPr>
        <w:spacing w:line="360" w:lineRule="auto"/>
        <w:ind w:firstLine="420" w:firstLineChars="200"/>
        <w:rPr>
          <w:bCs/>
          <w:szCs w:val="21"/>
        </w:rPr>
      </w:pPr>
      <w:r>
        <w:rPr>
          <w:rFonts w:hint="eastAsia"/>
          <w:bCs/>
          <w:szCs w:val="21"/>
        </w:rPr>
        <w:t>广发卡清远</w:t>
      </w:r>
      <w:r>
        <w:rPr>
          <w:rFonts w:hint="eastAsia"/>
          <w:bCs/>
          <w:szCs w:val="21"/>
        </w:rPr>
        <w:tab/>
      </w:r>
      <w:r>
        <w:rPr>
          <w:rFonts w:hint="eastAsia"/>
          <w:bCs/>
          <w:szCs w:val="21"/>
        </w:rPr>
        <w:t>GFK0763</w:t>
      </w:r>
    </w:p>
    <w:p>
      <w:pPr>
        <w:spacing w:line="360" w:lineRule="auto"/>
        <w:ind w:firstLine="420" w:firstLineChars="200"/>
        <w:rPr>
          <w:bCs/>
          <w:szCs w:val="21"/>
        </w:rPr>
      </w:pPr>
      <w:r>
        <w:rPr>
          <w:rFonts w:hint="eastAsia"/>
          <w:bCs/>
          <w:szCs w:val="21"/>
        </w:rPr>
        <w:t>广发银行河源分行</w:t>
      </w:r>
      <w:r>
        <w:rPr>
          <w:rFonts w:hint="eastAsia"/>
          <w:bCs/>
          <w:szCs w:val="21"/>
        </w:rPr>
        <w:tab/>
      </w:r>
      <w:r>
        <w:rPr>
          <w:rFonts w:hint="eastAsia"/>
          <w:bCs/>
          <w:szCs w:val="21"/>
        </w:rPr>
        <w:t>hy-cgb</w:t>
      </w:r>
    </w:p>
    <w:p>
      <w:pPr>
        <w:spacing w:line="360" w:lineRule="auto"/>
        <w:ind w:firstLine="420" w:firstLineChars="200"/>
        <w:rPr>
          <w:bCs/>
          <w:szCs w:val="21"/>
        </w:rPr>
      </w:pPr>
      <w:r>
        <w:rPr>
          <w:rFonts w:hint="eastAsia"/>
          <w:bCs/>
          <w:szCs w:val="21"/>
        </w:rPr>
        <w:t>广发卡河源</w:t>
      </w:r>
      <w:r>
        <w:rPr>
          <w:rFonts w:hint="eastAsia"/>
          <w:bCs/>
          <w:szCs w:val="21"/>
        </w:rPr>
        <w:tab/>
      </w:r>
      <w:r>
        <w:rPr>
          <w:rFonts w:hint="eastAsia"/>
          <w:bCs/>
          <w:szCs w:val="21"/>
        </w:rPr>
        <w:t>gfc-heyuan</w:t>
      </w:r>
    </w:p>
    <w:p>
      <w:pPr>
        <w:spacing w:line="360" w:lineRule="auto"/>
        <w:ind w:firstLine="420" w:firstLineChars="200"/>
        <w:rPr>
          <w:bCs/>
          <w:szCs w:val="21"/>
        </w:rPr>
      </w:pPr>
      <w:r>
        <w:rPr>
          <w:rFonts w:hint="eastAsia"/>
          <w:bCs/>
          <w:szCs w:val="21"/>
        </w:rPr>
        <w:t>广发卡湛江</w:t>
      </w:r>
      <w:r>
        <w:rPr>
          <w:rFonts w:hint="eastAsia"/>
          <w:bCs/>
          <w:szCs w:val="21"/>
        </w:rPr>
        <w:tab/>
      </w:r>
      <w:r>
        <w:rPr>
          <w:rFonts w:hint="eastAsia"/>
          <w:bCs/>
          <w:szCs w:val="21"/>
        </w:rPr>
        <w:t>gh_92874afd4e74</w:t>
      </w:r>
    </w:p>
    <w:p>
      <w:pPr>
        <w:spacing w:line="360" w:lineRule="auto"/>
        <w:ind w:firstLine="420" w:firstLineChars="200"/>
        <w:rPr>
          <w:bCs/>
          <w:szCs w:val="21"/>
        </w:rPr>
      </w:pPr>
      <w:r>
        <w:rPr>
          <w:rFonts w:hint="eastAsia"/>
          <w:bCs/>
          <w:szCs w:val="21"/>
        </w:rPr>
        <w:t>广发银行湛江分行</w:t>
      </w:r>
      <w:r>
        <w:rPr>
          <w:rFonts w:hint="eastAsia"/>
          <w:bCs/>
          <w:szCs w:val="21"/>
        </w:rPr>
        <w:tab/>
      </w:r>
      <w:r>
        <w:rPr>
          <w:rFonts w:hint="eastAsia"/>
          <w:bCs/>
          <w:szCs w:val="21"/>
        </w:rPr>
        <w:t>CGB_zhanjiang</w:t>
      </w:r>
    </w:p>
    <w:p>
      <w:pPr>
        <w:spacing w:line="360" w:lineRule="auto"/>
        <w:ind w:firstLine="420" w:firstLineChars="200"/>
        <w:rPr>
          <w:bCs/>
          <w:szCs w:val="21"/>
        </w:rPr>
      </w:pPr>
      <w:r>
        <w:rPr>
          <w:rFonts w:hint="eastAsia"/>
          <w:bCs/>
          <w:szCs w:val="21"/>
        </w:rPr>
        <w:t>广发信用卡阳江</w:t>
      </w:r>
      <w:r>
        <w:rPr>
          <w:rFonts w:hint="eastAsia"/>
          <w:bCs/>
          <w:szCs w:val="21"/>
        </w:rPr>
        <w:tab/>
      </w:r>
      <w:r>
        <w:rPr>
          <w:rFonts w:hint="eastAsia"/>
          <w:bCs/>
          <w:szCs w:val="21"/>
        </w:rPr>
        <w:t>CGB_YJ_XYK</w:t>
      </w:r>
    </w:p>
    <w:p>
      <w:pPr>
        <w:spacing w:line="360" w:lineRule="auto"/>
        <w:ind w:firstLine="420" w:firstLineChars="200"/>
        <w:rPr>
          <w:bCs/>
          <w:szCs w:val="21"/>
        </w:rPr>
      </w:pPr>
      <w:r>
        <w:rPr>
          <w:rFonts w:hint="eastAsia"/>
          <w:bCs/>
          <w:szCs w:val="21"/>
        </w:rPr>
        <w:t>广发阳江分行</w:t>
      </w:r>
      <w:r>
        <w:rPr>
          <w:rFonts w:hint="eastAsia"/>
          <w:bCs/>
          <w:szCs w:val="21"/>
        </w:rPr>
        <w:tab/>
      </w:r>
      <w:r>
        <w:rPr>
          <w:rFonts w:hint="eastAsia"/>
          <w:bCs/>
          <w:szCs w:val="21"/>
        </w:rPr>
        <w:t>CGB_YJ</w:t>
      </w:r>
    </w:p>
    <w:p>
      <w:pPr>
        <w:spacing w:line="360" w:lineRule="auto"/>
        <w:ind w:firstLine="420" w:firstLineChars="200"/>
        <w:rPr>
          <w:bCs/>
          <w:szCs w:val="21"/>
        </w:rPr>
      </w:pPr>
      <w:r>
        <w:rPr>
          <w:rFonts w:hint="eastAsia"/>
          <w:bCs/>
          <w:szCs w:val="21"/>
        </w:rPr>
        <w:t>广发卡韶关</w:t>
      </w:r>
      <w:r>
        <w:rPr>
          <w:rFonts w:hint="eastAsia"/>
          <w:bCs/>
          <w:szCs w:val="21"/>
        </w:rPr>
        <w:tab/>
      </w:r>
      <w:r>
        <w:rPr>
          <w:rFonts w:hint="eastAsia"/>
          <w:bCs/>
          <w:szCs w:val="21"/>
        </w:rPr>
        <w:t>gfk-sg</w:t>
      </w:r>
    </w:p>
    <w:p>
      <w:pPr>
        <w:spacing w:line="360" w:lineRule="auto"/>
        <w:ind w:firstLine="420" w:firstLineChars="200"/>
        <w:rPr>
          <w:bCs/>
          <w:szCs w:val="21"/>
        </w:rPr>
      </w:pPr>
      <w:r>
        <w:rPr>
          <w:rFonts w:hint="eastAsia"/>
          <w:bCs/>
          <w:szCs w:val="21"/>
        </w:rPr>
        <w:t>广发银行韶关分行</w:t>
      </w:r>
      <w:r>
        <w:rPr>
          <w:rFonts w:hint="eastAsia"/>
          <w:bCs/>
          <w:szCs w:val="21"/>
        </w:rPr>
        <w:tab/>
      </w:r>
      <w:r>
        <w:rPr>
          <w:rFonts w:hint="eastAsia"/>
          <w:bCs/>
          <w:szCs w:val="21"/>
        </w:rPr>
        <w:t>CGB-SG</w:t>
      </w:r>
    </w:p>
    <w:p>
      <w:pPr>
        <w:widowControl/>
        <w:ind w:firstLine="420" w:firstLineChars="200"/>
        <w:jc w:val="left"/>
      </w:pPr>
      <w:r>
        <w:rPr>
          <w:rFonts w:hint="eastAsia"/>
          <w:bCs/>
          <w:szCs w:val="21"/>
        </w:rPr>
        <w:t>廣發銀行澳門分行</w:t>
      </w:r>
      <w:r>
        <w:rPr>
          <w:rFonts w:hint="eastAsia"/>
          <w:bCs/>
          <w:szCs w:val="21"/>
        </w:rPr>
        <w:tab/>
      </w:r>
      <w:r>
        <w:rPr>
          <w:rFonts w:hint="eastAsia"/>
          <w:bCs/>
          <w:szCs w:val="21"/>
        </w:rPr>
        <w:t>CGB_Macau</w:t>
      </w:r>
    </w:p>
    <w:bookmarkEnd w:id="62"/>
    <w:bookmarkEnd w:id="63"/>
    <w:bookmarkEnd w:id="64"/>
    <w:bookmarkEnd w:id="65"/>
    <w:bookmarkEnd w:id="66"/>
    <w:bookmarkEnd w:id="67"/>
    <w:p>
      <w:pPr>
        <w:widowControl/>
        <w:jc w:val="left"/>
        <w:rPr>
          <w:rFonts w:ascii="宋体" w:hAnsi="宋体"/>
          <w:b/>
          <w:bCs/>
          <w:kern w:val="44"/>
          <w:sz w:val="32"/>
          <w:szCs w:val="20"/>
        </w:rPr>
      </w:pPr>
      <w:bookmarkStart w:id="68" w:name="_Toc296006336"/>
      <w:bookmarkStart w:id="69" w:name="_Toc363145648"/>
      <w:bookmarkStart w:id="70" w:name="_Toc456340617"/>
      <w:bookmarkStart w:id="71" w:name="_Toc420071771"/>
      <w:bookmarkStart w:id="72" w:name="_Toc363145531"/>
      <w:bookmarkStart w:id="73" w:name="_Toc296006406"/>
      <w:bookmarkStart w:id="74" w:name="_Toc363145069"/>
      <w:bookmarkStart w:id="75" w:name="_Toc296003024"/>
      <w:bookmarkStart w:id="76" w:name="_Toc507608754"/>
      <w:r>
        <w:br w:type="page"/>
      </w:r>
    </w:p>
    <w:p>
      <w:pPr>
        <w:pStyle w:val="2"/>
        <w:spacing w:line="360" w:lineRule="auto"/>
      </w:pPr>
      <w:r>
        <w:rPr>
          <w:rFonts w:hint="eastAsia"/>
        </w:rPr>
        <w:t>第四部分</w:t>
      </w:r>
      <w:bookmarkEnd w:id="68"/>
      <w:bookmarkEnd w:id="69"/>
      <w:bookmarkEnd w:id="70"/>
      <w:bookmarkEnd w:id="71"/>
      <w:bookmarkEnd w:id="72"/>
      <w:bookmarkEnd w:id="73"/>
      <w:bookmarkEnd w:id="74"/>
      <w:bookmarkEnd w:id="75"/>
      <w:bookmarkStart w:id="77" w:name="_Toc456340618"/>
      <w:bookmarkStart w:id="78" w:name="_Toc296003025"/>
      <w:bookmarkStart w:id="79" w:name="_Toc363145070"/>
      <w:bookmarkStart w:id="80" w:name="_Toc363145649"/>
      <w:bookmarkStart w:id="81" w:name="_Toc296006337"/>
      <w:bookmarkStart w:id="82" w:name="_Toc363145532"/>
      <w:bookmarkStart w:id="83" w:name="_Toc420071772"/>
      <w:bookmarkStart w:id="84" w:name="_Toc296006407"/>
      <w:bookmarkStart w:id="85" w:name="_Toc400974364"/>
      <w:r>
        <w:rPr>
          <w:rFonts w:hint="eastAsia"/>
        </w:rPr>
        <w:t xml:space="preserve"> 合同书格式</w:t>
      </w:r>
      <w:bookmarkEnd w:id="76"/>
      <w:bookmarkEnd w:id="77"/>
      <w:bookmarkEnd w:id="78"/>
      <w:bookmarkEnd w:id="79"/>
      <w:bookmarkEnd w:id="80"/>
      <w:bookmarkEnd w:id="81"/>
      <w:bookmarkEnd w:id="82"/>
      <w:bookmarkEnd w:id="83"/>
      <w:bookmarkEnd w:id="84"/>
      <w:bookmarkEnd w:id="85"/>
    </w:p>
    <w:p>
      <w:pPr>
        <w:spacing w:line="360" w:lineRule="auto"/>
        <w:ind w:right="325"/>
        <w:jc w:val="left"/>
        <w:rPr>
          <w:b/>
          <w:szCs w:val="21"/>
        </w:rPr>
      </w:pPr>
      <w:r>
        <w:rPr>
          <w:b/>
          <w:szCs w:val="21"/>
        </w:rPr>
        <w:t>(</w:t>
      </w:r>
      <w:r>
        <w:rPr>
          <w:rFonts w:hint="eastAsia"/>
          <w:b/>
          <w:szCs w:val="21"/>
        </w:rPr>
        <w:t>合同双方确认，本合同及本合同约定的其它文件组成部分中的各项约定都是通过我行集中采购过程形成的合法成果，不存在与磋商文件和中选供应商响应文件实质性内容不一致的条款。如果存在任何此类不一致的条款，也不是合同双方真实意思的表示，对合同双方不构成任何合同或法律约束力。）</w:t>
      </w:r>
    </w:p>
    <w:p>
      <w:pPr>
        <w:widowControl/>
        <w:jc w:val="left"/>
        <w:rPr>
          <w:b/>
          <w:szCs w:val="21"/>
        </w:rPr>
      </w:pPr>
      <w:r>
        <w:rPr>
          <w:b/>
          <w:szCs w:val="21"/>
        </w:rPr>
        <w:br w:type="page"/>
      </w:r>
    </w:p>
    <w:p>
      <w:pPr>
        <w:spacing w:line="360" w:lineRule="auto"/>
        <w:jc w:val="center"/>
        <w:rPr>
          <w:rFonts w:ascii="宋体" w:hAnsi="宋体"/>
          <w:b/>
          <w:bCs/>
          <w:szCs w:val="21"/>
        </w:rPr>
      </w:pPr>
      <w:r>
        <w:rPr>
          <w:rFonts w:hint="eastAsia" w:ascii="宋体" w:hAnsi="宋体"/>
          <w:b/>
          <w:bCs/>
          <w:szCs w:val="21"/>
        </w:rPr>
        <w:t>广发银行年度舆情监测项目服务合同</w:t>
      </w:r>
    </w:p>
    <w:p>
      <w:pPr>
        <w:spacing w:line="400" w:lineRule="exact"/>
        <w:ind w:firstLine="105" w:firstLineChars="50"/>
        <w:rPr>
          <w:rFonts w:ascii="宋体" w:hAnsi="宋体"/>
          <w:szCs w:val="21"/>
        </w:rPr>
      </w:pPr>
    </w:p>
    <w:p>
      <w:pPr>
        <w:spacing w:line="400" w:lineRule="exact"/>
        <w:ind w:firstLine="5040" w:firstLineChars="2400"/>
        <w:rPr>
          <w:rFonts w:ascii="宋体" w:hAnsi="宋体"/>
          <w:szCs w:val="21"/>
        </w:rPr>
      </w:pPr>
      <w:r>
        <w:rPr>
          <w:rFonts w:hint="eastAsia" w:ascii="宋体" w:hAnsi="宋体"/>
          <w:snapToGrid w:val="0"/>
          <w:szCs w:val="21"/>
        </w:rPr>
        <w:t>编号：</w:t>
      </w:r>
      <w:r>
        <w:rPr>
          <w:rFonts w:hint="eastAsia" w:ascii="宋体" w:hAnsi="宋体"/>
          <w:snapToGrid w:val="0"/>
          <w:szCs w:val="21"/>
          <w:u w:val="single"/>
        </w:rPr>
        <w:t xml:space="preserve">                    </w:t>
      </w:r>
    </w:p>
    <w:p>
      <w:pPr>
        <w:spacing w:line="400" w:lineRule="exact"/>
        <w:rPr>
          <w:rFonts w:ascii="宋体" w:hAnsi="宋体"/>
          <w:szCs w:val="21"/>
        </w:rPr>
      </w:pPr>
    </w:p>
    <w:p>
      <w:pPr>
        <w:snapToGrid w:val="0"/>
        <w:spacing w:line="360" w:lineRule="auto"/>
        <w:ind w:firstLine="470" w:firstLineChars="224"/>
        <w:rPr>
          <w:rFonts w:ascii="宋体" w:hAnsi="宋体"/>
          <w:szCs w:val="21"/>
        </w:rPr>
      </w:pPr>
      <w:r>
        <w:rPr>
          <w:rFonts w:hint="eastAsia" w:ascii="宋体" w:hAnsi="宋体"/>
          <w:szCs w:val="21"/>
        </w:rPr>
        <w:t>合同双方：</w:t>
      </w:r>
    </w:p>
    <w:p>
      <w:pPr>
        <w:snapToGrid w:val="0"/>
        <w:spacing w:line="360" w:lineRule="auto"/>
        <w:ind w:firstLine="471" w:firstLineChars="224"/>
        <w:rPr>
          <w:rFonts w:ascii="宋体" w:hAnsi="宋体"/>
          <w:szCs w:val="21"/>
          <w:u w:val="single"/>
        </w:rPr>
      </w:pPr>
      <w:r>
        <w:rPr>
          <w:rFonts w:hint="eastAsia" w:ascii="宋体" w:hAnsi="宋体"/>
          <w:b/>
          <w:bCs/>
          <w:szCs w:val="21"/>
        </w:rPr>
        <w:t>甲方：</w:t>
      </w:r>
      <w:r>
        <w:rPr>
          <w:rFonts w:hint="eastAsia" w:ascii="宋体" w:hAnsi="宋体"/>
          <w:szCs w:val="21"/>
          <w:u w:val="single"/>
        </w:rPr>
        <w:t xml:space="preserve">广发银行股份有限公司                                           </w:t>
      </w:r>
    </w:p>
    <w:p>
      <w:pPr>
        <w:snapToGrid w:val="0"/>
        <w:spacing w:line="360" w:lineRule="auto"/>
        <w:ind w:firstLine="1260" w:firstLineChars="600"/>
        <w:rPr>
          <w:rFonts w:ascii="宋体" w:hAnsi="宋体"/>
          <w:szCs w:val="21"/>
          <w:u w:val="single"/>
        </w:rPr>
      </w:pPr>
      <w:r>
        <w:rPr>
          <w:rFonts w:hint="eastAsia" w:ascii="宋体" w:hAnsi="宋体"/>
          <w:szCs w:val="21"/>
        </w:rPr>
        <w:t>住所地：</w:t>
      </w:r>
      <w:r>
        <w:rPr>
          <w:rFonts w:hint="eastAsia" w:ascii="宋体" w:hAnsi="宋体"/>
          <w:szCs w:val="21"/>
          <w:u w:val="single"/>
        </w:rPr>
        <w:t xml:space="preserve"> 广州市越秀区东风东路713号广发银行大厦               </w:t>
      </w:r>
    </w:p>
    <w:p>
      <w:pPr>
        <w:snapToGrid w:val="0"/>
        <w:spacing w:line="360" w:lineRule="auto"/>
        <w:ind w:firstLine="1260" w:firstLineChars="600"/>
        <w:rPr>
          <w:rFonts w:ascii="宋体" w:hAnsi="宋体"/>
          <w:szCs w:val="21"/>
          <w:u w:val="single"/>
        </w:rPr>
      </w:pPr>
      <w:r>
        <w:rPr>
          <w:rFonts w:hint="eastAsia" w:ascii="宋体" w:hAnsi="宋体"/>
          <w:szCs w:val="21"/>
        </w:rPr>
        <w:t>法定代表人/负责人：</w:t>
      </w:r>
      <w:r>
        <w:rPr>
          <w:rFonts w:hint="eastAsia" w:ascii="宋体" w:hAnsi="宋体"/>
          <w:szCs w:val="21"/>
          <w:u w:val="single"/>
        </w:rPr>
        <w:t xml:space="preserve">  王滨            </w:t>
      </w:r>
      <w:r>
        <w:rPr>
          <w:rFonts w:hint="eastAsia" w:ascii="宋体" w:hAnsi="宋体"/>
          <w:szCs w:val="21"/>
        </w:rPr>
        <w:t>职务：</w:t>
      </w:r>
      <w:r>
        <w:rPr>
          <w:rFonts w:hint="eastAsia" w:ascii="宋体" w:hAnsi="宋体"/>
          <w:szCs w:val="21"/>
          <w:u w:val="single"/>
        </w:rPr>
        <w:t xml:space="preserve">  董事长         </w:t>
      </w:r>
    </w:p>
    <w:p>
      <w:pPr>
        <w:spacing w:line="360" w:lineRule="auto"/>
        <w:ind w:firstLine="1260" w:firstLineChars="600"/>
        <w:rPr>
          <w:rFonts w:ascii="宋体" w:hAnsi="宋体"/>
          <w:szCs w:val="21"/>
          <w:u w:val="single"/>
        </w:rPr>
      </w:pPr>
      <w:r>
        <w:rPr>
          <w:rFonts w:hint="eastAsia" w:ascii="宋体" w:hAnsi="宋体"/>
          <w:szCs w:val="21"/>
        </w:rPr>
        <w:t>电 话：</w:t>
      </w:r>
      <w:r>
        <w:rPr>
          <w:rFonts w:hint="eastAsia" w:ascii="宋体" w:hAnsi="宋体"/>
          <w:szCs w:val="21"/>
          <w:u w:val="single"/>
        </w:rPr>
        <w:t>020-38323832</w:t>
      </w:r>
      <w:r>
        <w:rPr>
          <w:rFonts w:hint="eastAsia" w:ascii="宋体" w:hAnsi="宋体"/>
          <w:szCs w:val="21"/>
        </w:rPr>
        <w:t xml:space="preserve"> 传 真：</w:t>
      </w:r>
      <w:r>
        <w:rPr>
          <w:rFonts w:hint="eastAsia" w:ascii="宋体" w:hAnsi="宋体"/>
          <w:szCs w:val="21"/>
          <w:u w:val="single"/>
        </w:rPr>
        <w:t>020-38321626</w:t>
      </w:r>
      <w:r>
        <w:rPr>
          <w:rFonts w:hint="eastAsia" w:ascii="宋体" w:hAnsi="宋体"/>
          <w:szCs w:val="21"/>
        </w:rPr>
        <w:t xml:space="preserve"> 邮 编：</w:t>
      </w:r>
      <w:r>
        <w:rPr>
          <w:rFonts w:hint="eastAsia" w:ascii="宋体" w:hAnsi="宋体"/>
          <w:szCs w:val="21"/>
          <w:u w:val="single"/>
        </w:rPr>
        <w:t xml:space="preserve"> 510080        </w:t>
      </w:r>
    </w:p>
    <w:p>
      <w:pPr>
        <w:spacing w:line="360" w:lineRule="auto"/>
        <w:rPr>
          <w:rFonts w:ascii="宋体" w:hAnsi="宋体"/>
          <w:szCs w:val="21"/>
          <w:u w:val="single"/>
        </w:rPr>
      </w:pPr>
    </w:p>
    <w:p>
      <w:pPr>
        <w:snapToGrid w:val="0"/>
        <w:spacing w:line="360" w:lineRule="auto"/>
        <w:ind w:firstLine="471" w:firstLineChars="224"/>
        <w:rPr>
          <w:rFonts w:ascii="宋体" w:hAnsi="宋体"/>
          <w:bCs/>
          <w:szCs w:val="21"/>
          <w:u w:val="single"/>
        </w:rPr>
      </w:pPr>
      <w:r>
        <w:rPr>
          <w:rFonts w:hint="eastAsia" w:ascii="宋体" w:hAnsi="宋体"/>
          <w:b/>
          <w:szCs w:val="21"/>
        </w:rPr>
        <w:t>乙方：</w:t>
      </w:r>
      <w:r>
        <w:rPr>
          <w:rFonts w:hint="eastAsia" w:ascii="宋体" w:hAnsi="宋体"/>
          <w:bCs/>
          <w:szCs w:val="21"/>
          <w:u w:val="single"/>
        </w:rPr>
        <w:t xml:space="preserve">                                                         </w:t>
      </w:r>
    </w:p>
    <w:p>
      <w:pPr>
        <w:snapToGrid w:val="0"/>
        <w:spacing w:line="360" w:lineRule="auto"/>
        <w:ind w:firstLine="1260" w:firstLineChars="600"/>
        <w:rPr>
          <w:rFonts w:ascii="宋体" w:hAnsi="宋体"/>
          <w:szCs w:val="21"/>
          <w:u w:val="single"/>
        </w:rPr>
      </w:pPr>
      <w:r>
        <w:rPr>
          <w:rFonts w:hint="eastAsia" w:ascii="宋体" w:hAnsi="宋体"/>
          <w:szCs w:val="21"/>
        </w:rPr>
        <w:t>住所地：</w:t>
      </w:r>
      <w:r>
        <w:rPr>
          <w:rFonts w:hint="eastAsia" w:ascii="宋体" w:hAnsi="宋体"/>
          <w:szCs w:val="21"/>
          <w:u w:val="single"/>
        </w:rPr>
        <w:t xml:space="preserve">                                               </w:t>
      </w:r>
    </w:p>
    <w:p>
      <w:pPr>
        <w:snapToGrid w:val="0"/>
        <w:spacing w:line="360" w:lineRule="auto"/>
        <w:ind w:firstLine="1260" w:firstLineChars="600"/>
        <w:rPr>
          <w:rFonts w:ascii="宋体" w:hAnsi="宋体"/>
          <w:szCs w:val="21"/>
          <w:u w:val="single"/>
        </w:rPr>
      </w:pPr>
      <w:r>
        <w:rPr>
          <w:rFonts w:hint="eastAsia" w:ascii="宋体" w:hAnsi="宋体"/>
          <w:szCs w:val="21"/>
        </w:rPr>
        <w:t>法定代表人/负责人：</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napToGrid w:val="0"/>
        <w:spacing w:line="360" w:lineRule="auto"/>
        <w:ind w:firstLine="1260" w:firstLineChars="6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rPr>
          <w:rFonts w:ascii="宋体" w:hAnsi="宋体"/>
          <w:snapToGrid w:val="0"/>
          <w:szCs w:val="21"/>
        </w:rPr>
      </w:pPr>
    </w:p>
    <w:p>
      <w:pPr>
        <w:rPr>
          <w:rFonts w:ascii="宋体" w:hAnsi="宋体"/>
          <w:snapToGrid w:val="0"/>
          <w:szCs w:val="21"/>
        </w:rPr>
      </w:pPr>
    </w:p>
    <w:p>
      <w:pPr>
        <w:spacing w:line="500" w:lineRule="exact"/>
        <w:ind w:firstLine="526" w:firstLineChars="250"/>
        <w:rPr>
          <w:rFonts w:ascii="宋体" w:hAnsi="宋体"/>
          <w:b/>
          <w:bCs/>
          <w:snapToGrid w:val="0"/>
          <w:szCs w:val="21"/>
        </w:rPr>
      </w:pPr>
    </w:p>
    <w:p>
      <w:pPr>
        <w:spacing w:line="500" w:lineRule="exact"/>
        <w:ind w:firstLine="526" w:firstLineChars="250"/>
        <w:rPr>
          <w:rFonts w:ascii="宋体" w:hAnsi="宋体"/>
          <w:b/>
          <w:bCs/>
          <w:snapToGrid w:val="0"/>
          <w:szCs w:val="21"/>
        </w:rPr>
      </w:pPr>
    </w:p>
    <w:p>
      <w:pPr>
        <w:tabs>
          <w:tab w:val="left" w:pos="1080"/>
          <w:tab w:val="left" w:pos="1260"/>
        </w:tabs>
        <w:spacing w:line="360" w:lineRule="auto"/>
        <w:ind w:left="105" w:leftChars="50" w:firstLine="420" w:firstLineChars="200"/>
        <w:rPr>
          <w:rFonts w:ascii="宋体" w:hAnsi="宋体"/>
          <w:b/>
          <w:bCs/>
          <w:snapToGrid w:val="0"/>
          <w:szCs w:val="21"/>
          <w:u w:val="single"/>
        </w:rPr>
      </w:pPr>
      <w:r>
        <w:rPr>
          <w:rFonts w:hint="eastAsia" w:ascii="宋体" w:hAnsi="宋体"/>
          <w:b/>
          <w:bCs/>
          <w:snapToGrid w:val="0"/>
          <w:szCs w:val="21"/>
        </w:rPr>
        <w:t>合同签订地：</w:t>
      </w:r>
      <w:r>
        <w:rPr>
          <w:rFonts w:hint="eastAsia" w:ascii="宋体" w:hAnsi="宋体"/>
          <w:b/>
          <w:bCs/>
          <w:snapToGrid w:val="0"/>
          <w:szCs w:val="21"/>
          <w:u w:val="single"/>
        </w:rPr>
        <w:t xml:space="preserve"> </w:t>
      </w:r>
      <w:r>
        <w:rPr>
          <w:rFonts w:hint="eastAsia" w:ascii="宋体" w:hAnsi="宋体"/>
          <w:bCs/>
          <w:snapToGrid w:val="0"/>
          <w:szCs w:val="21"/>
          <w:u w:val="single"/>
        </w:rPr>
        <w:t>广州市</w:t>
      </w:r>
      <w:r>
        <w:rPr>
          <w:rFonts w:hint="eastAsia" w:ascii="宋体" w:hAnsi="宋体"/>
          <w:b/>
          <w:bCs/>
          <w:snapToGrid w:val="0"/>
          <w:szCs w:val="21"/>
          <w:u w:val="single"/>
        </w:rPr>
        <w:t xml:space="preserve">                </w:t>
      </w:r>
      <w:r>
        <w:rPr>
          <w:rFonts w:ascii="宋体" w:hAnsi="宋体"/>
          <w:b/>
          <w:bCs/>
          <w:snapToGrid w:val="0"/>
          <w:szCs w:val="21"/>
          <w:u w:val="single"/>
        </w:rPr>
        <w:t xml:space="preserve">                    </w:t>
      </w:r>
      <w:r>
        <w:rPr>
          <w:rFonts w:hint="eastAsia" w:ascii="宋体" w:hAnsi="宋体"/>
          <w:b/>
          <w:bCs/>
          <w:snapToGrid w:val="0"/>
          <w:szCs w:val="21"/>
          <w:u w:val="single"/>
        </w:rPr>
        <w:t xml:space="preserve">         </w:t>
      </w:r>
    </w:p>
    <w:p>
      <w:pPr>
        <w:spacing w:line="360" w:lineRule="auto"/>
        <w:ind w:firstLine="420" w:firstLineChars="200"/>
        <w:rPr>
          <w:rFonts w:ascii="宋体" w:hAnsi="宋体" w:cs="Arial"/>
          <w:szCs w:val="21"/>
        </w:rPr>
      </w:pPr>
      <w:r>
        <w:rPr>
          <w:rFonts w:ascii="宋体" w:hAnsi="宋体"/>
          <w:b/>
          <w:bCs/>
          <w:snapToGrid w:val="0"/>
          <w:szCs w:val="21"/>
          <w:u w:val="single"/>
        </w:rPr>
        <w:br w:type="page"/>
      </w:r>
      <w:r>
        <w:rPr>
          <w:rFonts w:hint="eastAsia" w:ascii="宋体" w:hAnsi="宋体" w:cs="Arial"/>
          <w:szCs w:val="21"/>
        </w:rPr>
        <w:t>在自愿平等、诚实信用的基础上，经过合同双方协商，乙方向甲方提供本合同项下咨询服务。为明确双方的权利、义务、责任，特此订立本合同，以兹共同遵守。</w:t>
      </w:r>
    </w:p>
    <w:p>
      <w:pPr>
        <w:spacing w:line="360" w:lineRule="auto"/>
        <w:ind w:firstLine="420" w:firstLineChars="200"/>
        <w:outlineLvl w:val="1"/>
        <w:rPr>
          <w:rFonts w:ascii="宋体" w:hAnsi="宋体"/>
          <w:szCs w:val="21"/>
        </w:rPr>
      </w:pPr>
      <w:r>
        <w:rPr>
          <w:rFonts w:hint="eastAsia" w:ascii="宋体" w:hAnsi="宋体"/>
          <w:b/>
          <w:szCs w:val="21"/>
        </w:rPr>
        <w:t>第一条  合同标的（服务）</w:t>
      </w:r>
    </w:p>
    <w:p>
      <w:pPr>
        <w:spacing w:line="360" w:lineRule="auto"/>
        <w:ind w:firstLine="420" w:firstLineChars="200"/>
        <w:rPr>
          <w:rFonts w:ascii="宋体" w:hAnsi="宋体" w:cs="Arial"/>
          <w:szCs w:val="21"/>
        </w:rPr>
      </w:pPr>
      <w:r>
        <w:rPr>
          <w:rFonts w:hint="eastAsia" w:ascii="宋体" w:hAnsi="宋体" w:cs="Arial"/>
          <w:szCs w:val="21"/>
        </w:rPr>
        <w:t>（一）乙方承接甲方年度舆情监测服务（以下或称“服务”），包括但不限于舆情监测、舆情分析、舆情研判、专项报告、新闻管理和舆情统计考核、舆情应急处理等服务。</w:t>
      </w:r>
    </w:p>
    <w:p>
      <w:pPr>
        <w:spacing w:line="360" w:lineRule="auto"/>
        <w:ind w:firstLine="420" w:firstLineChars="200"/>
        <w:rPr>
          <w:rFonts w:ascii="宋体" w:hAnsi="宋体" w:cs="Arial"/>
          <w:szCs w:val="21"/>
        </w:rPr>
      </w:pPr>
      <w:r>
        <w:rPr>
          <w:rFonts w:hint="eastAsia" w:ascii="宋体" w:hAnsi="宋体" w:cs="Arial"/>
          <w:szCs w:val="21"/>
        </w:rPr>
        <w:t>（二）非经甲方事先书面同意，</w:t>
      </w:r>
      <w:r>
        <w:rPr>
          <w:rFonts w:ascii="宋体" w:hAnsi="宋体" w:cs="Arial"/>
          <w:szCs w:val="21"/>
        </w:rPr>
        <w:t>乙方</w:t>
      </w:r>
      <w:r>
        <w:rPr>
          <w:rFonts w:hint="eastAsia" w:ascii="宋体" w:hAnsi="宋体" w:cs="Arial"/>
          <w:szCs w:val="21"/>
        </w:rPr>
        <w:t>不可</w:t>
      </w:r>
      <w:r>
        <w:rPr>
          <w:rFonts w:ascii="宋体" w:hAnsi="宋体" w:cs="Arial"/>
          <w:szCs w:val="21"/>
        </w:rPr>
        <w:t>将本</w:t>
      </w:r>
      <w:r>
        <w:rPr>
          <w:rFonts w:hint="eastAsia" w:ascii="宋体" w:hAnsi="宋体" w:cs="Arial"/>
          <w:szCs w:val="21"/>
        </w:rPr>
        <w:t>合同</w:t>
      </w:r>
      <w:r>
        <w:rPr>
          <w:rFonts w:ascii="宋体" w:hAnsi="宋体" w:cs="Arial"/>
          <w:szCs w:val="21"/>
        </w:rPr>
        <w:t>下的</w:t>
      </w:r>
      <w:r>
        <w:rPr>
          <w:rFonts w:hint="eastAsia" w:ascii="宋体" w:hAnsi="宋体" w:cs="Arial"/>
          <w:szCs w:val="21"/>
        </w:rPr>
        <w:t>约定事项</w:t>
      </w:r>
      <w:r>
        <w:rPr>
          <w:rFonts w:ascii="宋体" w:hAnsi="宋体" w:cs="Arial"/>
          <w:szCs w:val="21"/>
        </w:rPr>
        <w:t>分包</w:t>
      </w:r>
      <w:r>
        <w:rPr>
          <w:rFonts w:hint="eastAsia" w:ascii="宋体" w:hAnsi="宋体" w:cs="Arial"/>
          <w:szCs w:val="21"/>
        </w:rPr>
        <w:t>或转包予其他第三方</w:t>
      </w:r>
      <w:r>
        <w:rPr>
          <w:rFonts w:ascii="宋体" w:hAnsi="宋体" w:cs="Arial"/>
          <w:szCs w:val="21"/>
        </w:rPr>
        <w:t>。</w:t>
      </w:r>
    </w:p>
    <w:p>
      <w:pPr>
        <w:spacing w:line="360" w:lineRule="auto"/>
        <w:ind w:firstLine="420" w:firstLineChars="200"/>
        <w:rPr>
          <w:rFonts w:ascii="宋体" w:hAnsi="宋体"/>
          <w:szCs w:val="21"/>
        </w:rPr>
      </w:pPr>
      <w:r>
        <w:rPr>
          <w:rFonts w:hint="eastAsia" w:ascii="宋体" w:hAnsi="宋体"/>
          <w:szCs w:val="21"/>
        </w:rPr>
        <w:t>本合同约定的关于服务的内容、要求、进度安排等内容，详见本合同附件一</w:t>
      </w:r>
      <w:r>
        <w:rPr>
          <w:rFonts w:hint="eastAsia" w:ascii="宋体" w:hAnsi="宋体"/>
          <w:b/>
          <w:bCs/>
          <w:szCs w:val="21"/>
          <w:u w:val="single"/>
        </w:rPr>
        <w:t>《服务项目书》</w:t>
      </w:r>
      <w:r>
        <w:rPr>
          <w:rFonts w:hint="eastAsia" w:ascii="宋体" w:hAnsi="宋体"/>
          <w:szCs w:val="21"/>
        </w:rPr>
        <w:t>。</w:t>
      </w:r>
    </w:p>
    <w:p>
      <w:pPr>
        <w:spacing w:line="360" w:lineRule="auto"/>
        <w:ind w:firstLine="420" w:firstLineChars="200"/>
        <w:outlineLvl w:val="1"/>
        <w:rPr>
          <w:rFonts w:ascii="宋体" w:hAnsi="宋体"/>
          <w:b/>
          <w:szCs w:val="21"/>
        </w:rPr>
      </w:pPr>
      <w:r>
        <w:rPr>
          <w:rFonts w:hint="eastAsia" w:ascii="宋体" w:hAnsi="宋体"/>
          <w:b/>
          <w:bCs/>
          <w:szCs w:val="21"/>
        </w:rPr>
        <w:t>第二条  合</w:t>
      </w:r>
      <w:r>
        <w:rPr>
          <w:rFonts w:hint="eastAsia" w:ascii="宋体" w:hAnsi="宋体"/>
          <w:b/>
          <w:szCs w:val="21"/>
        </w:rPr>
        <w:t>同价款及其支付方式</w:t>
      </w:r>
    </w:p>
    <w:p>
      <w:pPr>
        <w:tabs>
          <w:tab w:val="left" w:pos="900"/>
        </w:tabs>
        <w:spacing w:line="360" w:lineRule="auto"/>
        <w:ind w:firstLine="420" w:firstLineChars="200"/>
        <w:rPr>
          <w:rFonts w:ascii="宋体" w:hAnsi="宋体"/>
          <w:szCs w:val="21"/>
        </w:rPr>
      </w:pPr>
      <w:r>
        <w:rPr>
          <w:rFonts w:hint="eastAsia" w:ascii="宋体" w:hAnsi="宋体"/>
          <w:szCs w:val="21"/>
        </w:rPr>
        <w:t>一、甲方按本合同附件二《付款约定书》约定的金额、时间及支付的方式向乙方支付本合同的服务费用。</w:t>
      </w:r>
    </w:p>
    <w:p>
      <w:pPr>
        <w:tabs>
          <w:tab w:val="left" w:pos="900"/>
        </w:tabs>
        <w:spacing w:line="360" w:lineRule="auto"/>
        <w:ind w:firstLine="420" w:firstLineChars="200"/>
        <w:rPr>
          <w:rFonts w:ascii="宋体" w:hAnsi="宋体"/>
          <w:szCs w:val="21"/>
        </w:rPr>
      </w:pPr>
      <w:r>
        <w:rPr>
          <w:rFonts w:hint="eastAsia" w:ascii="宋体" w:hAnsi="宋体"/>
          <w:szCs w:val="21"/>
        </w:rPr>
        <w:t>二、乙方应按约定向甲方出具相应发票。如果乙方迟延提供发票的，甲方有权相应延迟支付服务费用。</w:t>
      </w:r>
    </w:p>
    <w:p>
      <w:pPr>
        <w:tabs>
          <w:tab w:val="left" w:pos="900"/>
        </w:tabs>
        <w:spacing w:line="360" w:lineRule="auto"/>
        <w:ind w:firstLine="420" w:firstLineChars="200"/>
        <w:rPr>
          <w:rFonts w:ascii="宋体" w:hAnsi="宋体"/>
          <w:szCs w:val="21"/>
        </w:rPr>
      </w:pPr>
      <w:r>
        <w:rPr>
          <w:rFonts w:hint="eastAsia" w:ascii="宋体" w:hAnsi="宋体"/>
          <w:szCs w:val="21"/>
        </w:rPr>
        <w:t>三、甲、乙双方各自承担与本合同订立、履行有关的税款。</w:t>
      </w:r>
    </w:p>
    <w:p>
      <w:pPr>
        <w:tabs>
          <w:tab w:val="left" w:pos="900"/>
        </w:tabs>
        <w:spacing w:line="360" w:lineRule="auto"/>
        <w:ind w:firstLine="420" w:firstLineChars="200"/>
        <w:rPr>
          <w:rFonts w:ascii="宋体" w:hAnsi="宋体"/>
          <w:szCs w:val="21"/>
        </w:rPr>
      </w:pPr>
      <w:r>
        <w:rPr>
          <w:rFonts w:hint="eastAsia" w:ascii="宋体" w:hAnsi="宋体"/>
          <w:szCs w:val="21"/>
        </w:rPr>
        <w:t>四、除本合同附件二所载的费用之外，甲方不需向乙方支付任何额外款项。</w:t>
      </w:r>
    </w:p>
    <w:p>
      <w:pPr>
        <w:spacing w:line="360" w:lineRule="auto"/>
        <w:ind w:firstLine="420" w:firstLineChars="200"/>
        <w:outlineLvl w:val="1"/>
        <w:rPr>
          <w:rFonts w:ascii="宋体" w:hAnsi="宋体"/>
          <w:b/>
          <w:bCs/>
          <w:szCs w:val="21"/>
        </w:rPr>
      </w:pPr>
      <w:r>
        <w:rPr>
          <w:rFonts w:hint="eastAsia" w:ascii="宋体" w:hAnsi="宋体"/>
          <w:b/>
          <w:bCs/>
          <w:szCs w:val="21"/>
        </w:rPr>
        <w:t>第三条  服务期限</w:t>
      </w:r>
    </w:p>
    <w:p>
      <w:pPr>
        <w:spacing w:line="360" w:lineRule="auto"/>
        <w:ind w:firstLine="420" w:firstLineChars="200"/>
        <w:rPr>
          <w:rFonts w:ascii="宋体" w:hAnsi="宋体" w:cs="Arial"/>
          <w:szCs w:val="21"/>
        </w:rPr>
      </w:pPr>
      <w:r>
        <w:rPr>
          <w:rFonts w:hint="eastAsia" w:ascii="宋体" w:hAnsi="宋体" w:cs="Arial"/>
          <w:szCs w:val="21"/>
        </w:rPr>
        <w:t>本合同有效期限自</w:t>
      </w:r>
      <w:r>
        <w:rPr>
          <w:rFonts w:ascii="宋体" w:hAnsi="宋体" w:cs="Arial"/>
          <w:szCs w:val="21"/>
        </w:rPr>
        <w:t xml:space="preserve"> </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 xml:space="preserve">年 </w:t>
      </w:r>
      <w:r>
        <w:rPr>
          <w:rFonts w:hint="eastAsia" w:ascii="宋体" w:hAnsi="宋体" w:cs="Arial"/>
          <w:szCs w:val="21"/>
          <w:u w:val="single"/>
        </w:rPr>
        <w:t xml:space="preserve">    </w:t>
      </w:r>
      <w:r>
        <w:rPr>
          <w:rFonts w:hint="eastAsia" w:ascii="宋体" w:hAnsi="宋体" w:cs="Arial"/>
          <w:szCs w:val="21"/>
        </w:rPr>
        <w:t>月</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日开始，</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年</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月</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日止。</w:t>
      </w:r>
    </w:p>
    <w:p>
      <w:pPr>
        <w:spacing w:line="360" w:lineRule="auto"/>
        <w:ind w:firstLine="420" w:firstLineChars="200"/>
        <w:rPr>
          <w:rFonts w:ascii="宋体" w:hAnsi="宋体" w:cs="宋体"/>
          <w:kern w:val="0"/>
          <w:szCs w:val="21"/>
        </w:rPr>
      </w:pPr>
      <w:r>
        <w:rPr>
          <w:rFonts w:ascii="宋体" w:hAnsi="宋体" w:cs="宋体"/>
          <w:kern w:val="0"/>
          <w:szCs w:val="21"/>
        </w:rPr>
        <w:t>如因不可抗</w:t>
      </w:r>
      <w:r>
        <w:rPr>
          <w:rFonts w:hint="eastAsia" w:ascii="宋体" w:hAnsi="宋体" w:cs="宋体"/>
          <w:kern w:val="0"/>
          <w:szCs w:val="21"/>
        </w:rPr>
        <w:t>力</w:t>
      </w:r>
      <w:r>
        <w:rPr>
          <w:rFonts w:ascii="宋体" w:hAnsi="宋体" w:cs="宋体"/>
          <w:kern w:val="0"/>
          <w:szCs w:val="21"/>
        </w:rPr>
        <w:t>原因造成延期的，以甲乙双方协商的最终日期为准。</w:t>
      </w:r>
    </w:p>
    <w:p>
      <w:pPr>
        <w:spacing w:line="360" w:lineRule="auto"/>
        <w:ind w:firstLine="420" w:firstLineChars="200"/>
        <w:outlineLvl w:val="1"/>
        <w:rPr>
          <w:rFonts w:ascii="宋体" w:hAnsi="宋体"/>
          <w:szCs w:val="21"/>
        </w:rPr>
      </w:pPr>
      <w:r>
        <w:rPr>
          <w:rFonts w:hint="eastAsia" w:ascii="宋体" w:hAnsi="宋体"/>
          <w:b/>
          <w:szCs w:val="21"/>
        </w:rPr>
        <w:t>第四条  服务要求及验收</w:t>
      </w:r>
    </w:p>
    <w:p>
      <w:pPr>
        <w:spacing w:line="360" w:lineRule="auto"/>
        <w:ind w:firstLine="420" w:firstLineChars="200"/>
        <w:rPr>
          <w:rFonts w:ascii="宋体" w:hAnsi="宋体" w:cs="宋体"/>
          <w:kern w:val="0"/>
          <w:szCs w:val="21"/>
        </w:rPr>
      </w:pPr>
      <w:r>
        <w:rPr>
          <w:rFonts w:hint="eastAsia" w:ascii="宋体" w:hAnsi="宋体" w:cs="宋体"/>
          <w:kern w:val="0"/>
          <w:szCs w:val="21"/>
        </w:rPr>
        <w:t>一、</w:t>
      </w:r>
      <w:r>
        <w:rPr>
          <w:rFonts w:ascii="宋体" w:hAnsi="宋体" w:cs="宋体"/>
          <w:kern w:val="0"/>
          <w:szCs w:val="21"/>
        </w:rPr>
        <w:t>乙方</w:t>
      </w:r>
      <w:r>
        <w:rPr>
          <w:rFonts w:hint="eastAsia" w:ascii="宋体" w:hAnsi="宋体" w:cs="宋体"/>
          <w:kern w:val="0"/>
          <w:szCs w:val="21"/>
        </w:rPr>
        <w:t>应按合同及附件一的约定、该服务行业为类似服务设定的行业标准，为甲方提供服务并交付项目成果，包括项目完整的书面文件和甲方要求的电子文档。</w:t>
      </w:r>
    </w:p>
    <w:p>
      <w:pPr>
        <w:spacing w:line="360" w:lineRule="auto"/>
        <w:ind w:firstLine="420" w:firstLineChars="200"/>
        <w:rPr>
          <w:rFonts w:ascii="宋体" w:hAnsi="宋体"/>
          <w:szCs w:val="21"/>
        </w:rPr>
      </w:pPr>
      <w:r>
        <w:rPr>
          <w:rFonts w:hint="eastAsia" w:ascii="宋体" w:hAnsi="宋体"/>
          <w:szCs w:val="21"/>
        </w:rPr>
        <w:t>二、甲方应在附件一约定的时间内，及时对乙方提交的工作成果进行考核验收。验收合格后，双方签署验收合格报告，甲方应按照本合同约定及附件约定向乙方支付相应的服务费用。</w:t>
      </w:r>
    </w:p>
    <w:p>
      <w:pPr>
        <w:spacing w:line="360" w:lineRule="auto"/>
        <w:ind w:firstLine="420" w:firstLineChars="200"/>
        <w:rPr>
          <w:rFonts w:ascii="宋体" w:hAnsi="宋体"/>
          <w:szCs w:val="21"/>
        </w:rPr>
      </w:pPr>
      <w:r>
        <w:rPr>
          <w:rFonts w:hint="eastAsia" w:ascii="宋体" w:hAnsi="宋体"/>
          <w:szCs w:val="21"/>
        </w:rPr>
        <w:t>三、甲方可在考核验收期内向乙方提出合理异议，乙方应根据甲方的合理要求、本合同及其附件，在甲方指定的期限内对提交的项目成果进行相应修改，乙方不得因此向甲方另行收取服务费用。</w:t>
      </w:r>
    </w:p>
    <w:p>
      <w:pPr>
        <w:spacing w:line="360" w:lineRule="auto"/>
        <w:ind w:firstLine="420" w:firstLineChars="200"/>
        <w:rPr>
          <w:rFonts w:ascii="宋体" w:hAnsi="宋体"/>
          <w:szCs w:val="21"/>
        </w:rPr>
      </w:pPr>
      <w:r>
        <w:rPr>
          <w:rFonts w:hint="eastAsia" w:ascii="宋体" w:hAnsi="宋体"/>
          <w:szCs w:val="21"/>
        </w:rPr>
        <w:t>四、为确保乙方能按项目进度及质量要求向甲方提供服务成果，双方应在项目各阶段工作开始前进行有效沟通。</w:t>
      </w:r>
    </w:p>
    <w:p>
      <w:pPr>
        <w:spacing w:line="360" w:lineRule="auto"/>
        <w:ind w:firstLine="420" w:firstLineChars="200"/>
        <w:rPr>
          <w:rFonts w:ascii="宋体" w:hAnsi="宋体"/>
          <w:szCs w:val="21"/>
        </w:rPr>
      </w:pPr>
      <w:r>
        <w:rPr>
          <w:rFonts w:hint="eastAsia" w:ascii="宋体" w:hAnsi="宋体"/>
          <w:szCs w:val="21"/>
        </w:rPr>
        <w:t>五、考核验收时间、考核方法等内容，详情请见本合同附件一。</w:t>
      </w:r>
    </w:p>
    <w:p>
      <w:pPr>
        <w:spacing w:line="360" w:lineRule="auto"/>
        <w:ind w:firstLine="420" w:firstLineChars="200"/>
        <w:outlineLvl w:val="1"/>
        <w:rPr>
          <w:rFonts w:ascii="宋体" w:hAnsi="宋体"/>
          <w:b/>
          <w:szCs w:val="21"/>
        </w:rPr>
      </w:pPr>
      <w:r>
        <w:rPr>
          <w:rFonts w:hint="eastAsia" w:ascii="宋体" w:hAnsi="宋体"/>
          <w:b/>
          <w:szCs w:val="21"/>
        </w:rPr>
        <w:t>第五条  服务人员安排及要求</w:t>
      </w:r>
    </w:p>
    <w:p>
      <w:pPr>
        <w:spacing w:line="360" w:lineRule="auto"/>
        <w:ind w:firstLine="420" w:firstLineChars="200"/>
        <w:rPr>
          <w:rFonts w:ascii="宋体" w:hAnsi="宋体"/>
          <w:szCs w:val="21"/>
          <w:u w:val="single"/>
        </w:rPr>
      </w:pPr>
      <w:r>
        <w:rPr>
          <w:rFonts w:ascii="宋体" w:hAnsi="宋体" w:cs="宋体"/>
          <w:kern w:val="0"/>
          <w:szCs w:val="21"/>
        </w:rPr>
        <w:t>乙方</w:t>
      </w:r>
      <w:r>
        <w:rPr>
          <w:rFonts w:hint="eastAsia" w:ascii="宋体" w:hAnsi="宋体" w:cs="宋体"/>
          <w:kern w:val="0"/>
          <w:szCs w:val="21"/>
        </w:rPr>
        <w:t>应派出</w:t>
      </w:r>
      <w:r>
        <w:rPr>
          <w:rFonts w:ascii="宋体" w:hAnsi="宋体" w:cs="宋体"/>
          <w:kern w:val="0"/>
          <w:szCs w:val="21"/>
        </w:rPr>
        <w:t>经专业培训和具有专业知识</w:t>
      </w:r>
      <w:r>
        <w:rPr>
          <w:rFonts w:hint="eastAsia" w:ascii="宋体" w:hAnsi="宋体" w:cs="宋体"/>
          <w:kern w:val="0"/>
          <w:szCs w:val="21"/>
        </w:rPr>
        <w:t>、实践经验的服务</w:t>
      </w:r>
      <w:r>
        <w:rPr>
          <w:rFonts w:ascii="宋体" w:hAnsi="宋体" w:cs="宋体"/>
          <w:kern w:val="0"/>
          <w:szCs w:val="21"/>
        </w:rPr>
        <w:t>人员</w:t>
      </w:r>
      <w:r>
        <w:rPr>
          <w:rFonts w:hint="eastAsia" w:ascii="宋体" w:hAnsi="宋体" w:cs="宋体"/>
          <w:kern w:val="0"/>
          <w:szCs w:val="21"/>
        </w:rPr>
        <w:t>提供服务</w:t>
      </w:r>
      <w:r>
        <w:rPr>
          <w:rFonts w:ascii="宋体" w:hAnsi="宋体" w:cs="宋体"/>
          <w:kern w:val="0"/>
          <w:szCs w:val="21"/>
        </w:rPr>
        <w:t>。</w:t>
      </w:r>
      <w:r>
        <w:rPr>
          <w:rFonts w:ascii="宋体" w:hAnsi="宋体"/>
          <w:szCs w:val="21"/>
          <w:lang w:val="en"/>
        </w:rPr>
        <w:t>除了合同附件</w:t>
      </w:r>
      <w:r>
        <w:rPr>
          <w:rFonts w:hint="eastAsia" w:ascii="宋体" w:hAnsi="宋体"/>
          <w:szCs w:val="21"/>
          <w:lang w:val="en"/>
        </w:rPr>
        <w:t>三</w:t>
      </w:r>
      <w:r>
        <w:rPr>
          <w:rFonts w:ascii="宋体" w:hAnsi="宋体"/>
          <w:szCs w:val="21"/>
          <w:lang w:val="en"/>
        </w:rPr>
        <w:t>所列的</w:t>
      </w:r>
      <w:r>
        <w:rPr>
          <w:rFonts w:hint="eastAsia" w:ascii="宋体" w:hAnsi="宋体"/>
          <w:szCs w:val="21"/>
          <w:lang w:val="en"/>
        </w:rPr>
        <w:t>项目团队成员</w:t>
      </w:r>
      <w:r>
        <w:rPr>
          <w:rFonts w:ascii="宋体" w:hAnsi="宋体"/>
          <w:szCs w:val="21"/>
          <w:lang w:val="en"/>
        </w:rPr>
        <w:t>外，</w:t>
      </w:r>
      <w:r>
        <w:rPr>
          <w:rFonts w:hint="eastAsia" w:ascii="宋体" w:hAnsi="宋体"/>
          <w:szCs w:val="21"/>
          <w:lang w:val="en"/>
        </w:rPr>
        <w:t>乙</w:t>
      </w:r>
      <w:r>
        <w:rPr>
          <w:rFonts w:ascii="宋体" w:hAnsi="宋体"/>
          <w:szCs w:val="21"/>
          <w:lang w:val="en"/>
        </w:rPr>
        <w:t>方还应提供足够数量的称职</w:t>
      </w:r>
      <w:r>
        <w:rPr>
          <w:rFonts w:hint="eastAsia" w:ascii="宋体" w:hAnsi="宋体"/>
          <w:szCs w:val="21"/>
          <w:lang w:val="en"/>
        </w:rPr>
        <w:t>服务</w:t>
      </w:r>
      <w:r>
        <w:rPr>
          <w:rFonts w:ascii="宋体" w:hAnsi="宋体"/>
          <w:szCs w:val="21"/>
          <w:lang w:val="en"/>
        </w:rPr>
        <w:t>人员来履行本合同规定的义务</w:t>
      </w:r>
      <w:r>
        <w:rPr>
          <w:rFonts w:hint="eastAsia" w:ascii="宋体" w:hAnsi="宋体"/>
          <w:szCs w:val="21"/>
          <w:lang w:val="en"/>
        </w:rPr>
        <w:t>，</w:t>
      </w:r>
      <w:r>
        <w:rPr>
          <w:rFonts w:hint="eastAsia" w:ascii="宋体" w:hAnsi="宋体"/>
          <w:szCs w:val="21"/>
        </w:rPr>
        <w:t>详情请见本合同附件一。</w:t>
      </w:r>
    </w:p>
    <w:p>
      <w:pPr>
        <w:spacing w:line="360" w:lineRule="auto"/>
        <w:ind w:firstLine="420" w:firstLineChars="200"/>
        <w:outlineLvl w:val="1"/>
        <w:rPr>
          <w:rFonts w:ascii="宋体" w:hAnsi="宋体"/>
          <w:b/>
          <w:szCs w:val="21"/>
        </w:rPr>
      </w:pPr>
      <w:r>
        <w:rPr>
          <w:rFonts w:hint="eastAsia" w:ascii="宋体" w:hAnsi="宋体"/>
          <w:b/>
          <w:szCs w:val="21"/>
        </w:rPr>
        <w:t>第六条 甲方的协助</w:t>
      </w:r>
    </w:p>
    <w:p>
      <w:pPr>
        <w:spacing w:line="360" w:lineRule="auto"/>
        <w:ind w:firstLine="480"/>
        <w:rPr>
          <w:rFonts w:ascii="宋体" w:hAnsi="宋体"/>
          <w:b/>
          <w:szCs w:val="21"/>
        </w:rPr>
      </w:pPr>
      <w:r>
        <w:rPr>
          <w:rFonts w:hint="eastAsia" w:ascii="宋体" w:hAnsi="宋体" w:cs="宋体"/>
          <w:kern w:val="0"/>
          <w:szCs w:val="21"/>
        </w:rPr>
        <w:t>甲方应根据合同及附件一的约定，及时向乙方提供履行本合同所需的文件、资料，及合理的工作便利条件。</w:t>
      </w:r>
    </w:p>
    <w:p>
      <w:pPr>
        <w:spacing w:line="360" w:lineRule="auto"/>
        <w:ind w:firstLine="420" w:firstLineChars="200"/>
        <w:outlineLvl w:val="1"/>
        <w:rPr>
          <w:rFonts w:ascii="宋体" w:hAnsi="宋体"/>
          <w:b/>
          <w:szCs w:val="21"/>
        </w:rPr>
      </w:pPr>
      <w:r>
        <w:rPr>
          <w:rFonts w:hint="eastAsia" w:ascii="宋体" w:hAnsi="宋体"/>
          <w:b/>
          <w:szCs w:val="21"/>
        </w:rPr>
        <w:t>第七条 监督检查</w:t>
      </w:r>
    </w:p>
    <w:p>
      <w:pPr>
        <w:spacing w:line="360" w:lineRule="auto"/>
        <w:ind w:firstLine="480"/>
        <w:rPr>
          <w:rFonts w:ascii="宋体" w:hAnsi="宋体" w:cs="宋体"/>
          <w:kern w:val="0"/>
          <w:szCs w:val="21"/>
        </w:rPr>
      </w:pPr>
      <w:r>
        <w:rPr>
          <w:rFonts w:hint="eastAsia" w:ascii="宋体" w:hAnsi="宋体" w:cs="宋体"/>
          <w:kern w:val="0"/>
          <w:szCs w:val="21"/>
        </w:rPr>
        <w:t>一</w:t>
      </w:r>
      <w:r>
        <w:rPr>
          <w:rFonts w:ascii="宋体" w:hAnsi="宋体" w:cs="宋体"/>
          <w:kern w:val="0"/>
          <w:szCs w:val="21"/>
        </w:rPr>
        <w:t>、甲方对乙方提供的服务享有监督</w:t>
      </w:r>
      <w:r>
        <w:rPr>
          <w:rFonts w:hint="eastAsia" w:ascii="宋体" w:hAnsi="宋体" w:cs="宋体"/>
          <w:kern w:val="0"/>
          <w:szCs w:val="21"/>
        </w:rPr>
        <w:t>、</w:t>
      </w:r>
      <w:r>
        <w:rPr>
          <w:rFonts w:ascii="宋体" w:hAnsi="宋体" w:cs="宋体"/>
          <w:kern w:val="0"/>
          <w:szCs w:val="21"/>
        </w:rPr>
        <w:t>检查</w:t>
      </w:r>
      <w:r>
        <w:rPr>
          <w:rFonts w:hint="eastAsia" w:ascii="宋体" w:hAnsi="宋体" w:cs="宋体"/>
          <w:kern w:val="0"/>
          <w:szCs w:val="21"/>
        </w:rPr>
        <w:t>的权利</w:t>
      </w:r>
      <w:r>
        <w:rPr>
          <w:rFonts w:ascii="宋体" w:hAnsi="宋体" w:cs="宋体"/>
          <w:kern w:val="0"/>
          <w:szCs w:val="21"/>
        </w:rPr>
        <w:t>，有权对乙方</w:t>
      </w:r>
      <w:r>
        <w:rPr>
          <w:rFonts w:hint="eastAsia" w:ascii="宋体" w:hAnsi="宋体" w:cs="宋体"/>
          <w:kern w:val="0"/>
          <w:szCs w:val="21"/>
        </w:rPr>
        <w:t>有关</w:t>
      </w:r>
      <w:r>
        <w:rPr>
          <w:rFonts w:ascii="宋体" w:hAnsi="宋体" w:cs="宋体"/>
          <w:kern w:val="0"/>
          <w:szCs w:val="21"/>
        </w:rPr>
        <w:t>服务</w:t>
      </w:r>
      <w:r>
        <w:rPr>
          <w:rFonts w:hint="eastAsia" w:ascii="宋体" w:hAnsi="宋体" w:cs="宋体"/>
          <w:kern w:val="0"/>
          <w:szCs w:val="21"/>
        </w:rPr>
        <w:t>上的不足</w:t>
      </w:r>
      <w:r>
        <w:rPr>
          <w:rFonts w:ascii="宋体" w:hAnsi="宋体" w:cs="宋体"/>
          <w:kern w:val="0"/>
          <w:szCs w:val="21"/>
        </w:rPr>
        <w:t>提出</w:t>
      </w:r>
      <w:r>
        <w:rPr>
          <w:rFonts w:hint="eastAsia" w:ascii="宋体" w:hAnsi="宋体" w:cs="宋体"/>
          <w:kern w:val="0"/>
          <w:szCs w:val="21"/>
        </w:rPr>
        <w:t>异议及</w:t>
      </w:r>
      <w:r>
        <w:rPr>
          <w:rFonts w:hint="eastAsia" w:ascii="宋体" w:hAnsi="宋体"/>
          <w:szCs w:val="21"/>
        </w:rPr>
        <w:t>限期整改的要求</w:t>
      </w:r>
      <w:r>
        <w:rPr>
          <w:rFonts w:ascii="宋体" w:hAnsi="宋体" w:cs="宋体"/>
          <w:kern w:val="0"/>
          <w:szCs w:val="21"/>
        </w:rPr>
        <w:t>。</w:t>
      </w:r>
      <w:r>
        <w:rPr>
          <w:rFonts w:hint="eastAsia" w:ascii="宋体" w:hAnsi="宋体" w:cs="宋体"/>
          <w:kern w:val="0"/>
          <w:szCs w:val="21"/>
        </w:rPr>
        <w:t>乙方在收到甲方书面通知后，应即时按照甲方的要求弥补不足或重新履行服务而不另行收费。</w:t>
      </w:r>
    </w:p>
    <w:p>
      <w:pPr>
        <w:spacing w:line="360" w:lineRule="auto"/>
        <w:ind w:firstLine="480"/>
        <w:rPr>
          <w:rFonts w:ascii="宋体" w:hAnsi="宋体" w:cs="宋体"/>
          <w:kern w:val="0"/>
          <w:szCs w:val="21"/>
        </w:rPr>
      </w:pPr>
      <w:r>
        <w:rPr>
          <w:rFonts w:hint="eastAsia" w:ascii="宋体" w:hAnsi="宋体" w:cs="宋体"/>
          <w:kern w:val="0"/>
          <w:szCs w:val="21"/>
        </w:rPr>
        <w:t>二</w:t>
      </w:r>
      <w:r>
        <w:rPr>
          <w:rFonts w:ascii="宋体" w:hAnsi="宋体" w:cs="宋体"/>
          <w:kern w:val="0"/>
          <w:szCs w:val="21"/>
        </w:rPr>
        <w:t>、</w:t>
      </w:r>
      <w:r>
        <w:rPr>
          <w:rFonts w:hint="eastAsia" w:ascii="宋体" w:hAnsi="宋体"/>
          <w:szCs w:val="21"/>
        </w:rPr>
        <w:t>甲方有提出</w:t>
      </w:r>
      <w:r>
        <w:rPr>
          <w:rFonts w:ascii="宋体" w:hAnsi="宋体" w:cs="宋体"/>
          <w:kern w:val="0"/>
          <w:szCs w:val="21"/>
        </w:rPr>
        <w:t>意见和建议的权利</w:t>
      </w:r>
      <w:r>
        <w:rPr>
          <w:rFonts w:hint="eastAsia" w:ascii="宋体" w:hAnsi="宋体" w:cs="宋体"/>
          <w:kern w:val="0"/>
          <w:szCs w:val="21"/>
        </w:rPr>
        <w:t>，乙方自收到甲方要求或建议后</w:t>
      </w:r>
      <w:r>
        <w:rPr>
          <w:rFonts w:hint="eastAsia" w:ascii="宋体" w:hAnsi="宋体" w:cs="宋体"/>
          <w:b/>
          <w:bCs/>
          <w:kern w:val="0"/>
          <w:szCs w:val="21"/>
          <w:u w:val="single"/>
        </w:rPr>
        <w:t>2</w:t>
      </w:r>
      <w:r>
        <w:rPr>
          <w:rFonts w:hint="eastAsia" w:ascii="宋体" w:hAnsi="宋体" w:cs="宋体"/>
          <w:kern w:val="0"/>
          <w:szCs w:val="21"/>
        </w:rPr>
        <w:t>个工作日内书面回应处理情况，</w:t>
      </w:r>
      <w:r>
        <w:rPr>
          <w:rFonts w:ascii="宋体" w:hAnsi="宋体" w:cs="宋体"/>
          <w:kern w:val="0"/>
          <w:szCs w:val="21"/>
        </w:rPr>
        <w:t>乙方应积极采纳甲方的合理化建议。</w:t>
      </w:r>
    </w:p>
    <w:p>
      <w:pPr>
        <w:spacing w:line="360" w:lineRule="auto"/>
        <w:ind w:firstLine="420" w:firstLineChars="200"/>
        <w:outlineLvl w:val="1"/>
        <w:rPr>
          <w:rFonts w:ascii="宋体" w:hAnsi="宋体"/>
          <w:b/>
          <w:szCs w:val="21"/>
        </w:rPr>
      </w:pPr>
      <w:r>
        <w:rPr>
          <w:rFonts w:hint="eastAsia" w:ascii="宋体" w:hAnsi="宋体"/>
          <w:b/>
          <w:szCs w:val="21"/>
        </w:rPr>
        <w:t>第八条 权利保护</w:t>
      </w:r>
    </w:p>
    <w:p>
      <w:pPr>
        <w:spacing w:line="360" w:lineRule="auto"/>
        <w:ind w:firstLine="420" w:firstLineChars="200"/>
        <w:rPr>
          <w:rFonts w:ascii="宋体" w:hAnsi="宋体"/>
          <w:szCs w:val="21"/>
        </w:rPr>
      </w:pPr>
      <w:r>
        <w:rPr>
          <w:rFonts w:hint="eastAsia" w:ascii="宋体" w:hAnsi="宋体"/>
          <w:szCs w:val="21"/>
        </w:rPr>
        <w:t>一、乙方保证其所提供的服务、项目成果、研究方法及研究工具不侵犯任何第三方的合法权利，包括但不限于专利权、商标权、著作权、商号权、技术秘密和商业秘密权、商业方法权等。乙方在本合同项下为甲方提供的服务、项目成果，将视为乙方对以上提供品所涉及信息、图片、方案、方法等的来源及所附的第三人权利已进行了严格审查，且已明确知悉相关情况。</w:t>
      </w:r>
    </w:p>
    <w:p>
      <w:pPr>
        <w:spacing w:line="360" w:lineRule="auto"/>
        <w:ind w:firstLine="420" w:firstLineChars="200"/>
        <w:rPr>
          <w:rFonts w:ascii="宋体" w:hAnsi="宋体"/>
          <w:szCs w:val="21"/>
        </w:rPr>
      </w:pPr>
      <w:r>
        <w:rPr>
          <w:rFonts w:ascii="宋体" w:hAnsi="宋体"/>
          <w:szCs w:val="21"/>
        </w:rPr>
        <w:t>如果</w:t>
      </w:r>
      <w:r>
        <w:rPr>
          <w:rFonts w:hint="eastAsia" w:ascii="宋体" w:hAnsi="宋体"/>
          <w:szCs w:val="21"/>
        </w:rPr>
        <w:t>乙方</w:t>
      </w:r>
      <w:r>
        <w:rPr>
          <w:rFonts w:ascii="宋体" w:hAnsi="宋体"/>
          <w:szCs w:val="21"/>
        </w:rPr>
        <w:t>提供的</w:t>
      </w:r>
      <w:r>
        <w:rPr>
          <w:rFonts w:hint="eastAsia" w:ascii="宋体" w:hAnsi="宋体"/>
          <w:szCs w:val="21"/>
        </w:rPr>
        <w:t>服务及项目成果</w:t>
      </w:r>
      <w:r>
        <w:rPr>
          <w:rFonts w:ascii="宋体" w:hAnsi="宋体"/>
          <w:szCs w:val="21"/>
        </w:rPr>
        <w:t>涉及第三人权利，</w:t>
      </w:r>
      <w:r>
        <w:rPr>
          <w:rFonts w:hint="eastAsia" w:ascii="宋体" w:hAnsi="宋体" w:cs="宋体"/>
          <w:color w:val="000000"/>
          <w:kern w:val="0"/>
          <w:szCs w:val="21"/>
        </w:rPr>
        <w:t>或乙方在本合同项下对甲方的所有授权、承诺、同意涉及</w:t>
      </w:r>
      <w:r>
        <w:rPr>
          <w:rFonts w:ascii="宋体" w:hAnsi="宋体"/>
          <w:szCs w:val="21"/>
        </w:rPr>
        <w:t>第三人</w:t>
      </w:r>
      <w:r>
        <w:rPr>
          <w:rFonts w:hint="eastAsia" w:ascii="宋体" w:hAnsi="宋体"/>
          <w:szCs w:val="21"/>
        </w:rPr>
        <w:t>的</w:t>
      </w:r>
      <w:r>
        <w:rPr>
          <w:rFonts w:hint="eastAsia" w:ascii="宋体" w:hAnsi="宋体" w:cs="宋体"/>
          <w:color w:val="000000"/>
          <w:kern w:val="0"/>
          <w:szCs w:val="21"/>
        </w:rPr>
        <w:t>，</w:t>
      </w:r>
      <w:r>
        <w:rPr>
          <w:rFonts w:hint="eastAsia" w:ascii="宋体" w:hAnsi="宋体"/>
          <w:szCs w:val="21"/>
        </w:rPr>
        <w:t>乙方</w:t>
      </w:r>
      <w:r>
        <w:rPr>
          <w:rFonts w:ascii="宋体" w:hAnsi="宋体"/>
          <w:szCs w:val="21"/>
        </w:rPr>
        <w:t>应遵循合法途径</w:t>
      </w:r>
      <w:r>
        <w:rPr>
          <w:rFonts w:hint="eastAsia" w:ascii="宋体" w:hAnsi="宋体"/>
          <w:szCs w:val="21"/>
        </w:rPr>
        <w:t>事先</w:t>
      </w:r>
      <w:r>
        <w:rPr>
          <w:rFonts w:ascii="宋体" w:hAnsi="宋体"/>
          <w:szCs w:val="21"/>
        </w:rPr>
        <w:t>取得有权人的有效授权，并保证</w:t>
      </w:r>
      <w:r>
        <w:rPr>
          <w:rFonts w:hint="eastAsia" w:ascii="宋体" w:hAnsi="宋体"/>
          <w:szCs w:val="21"/>
        </w:rPr>
        <w:t>甲</w:t>
      </w:r>
      <w:r>
        <w:rPr>
          <w:rFonts w:ascii="宋体" w:hAnsi="宋体"/>
          <w:szCs w:val="21"/>
        </w:rPr>
        <w:t>方能按合同的约定享有及或使用</w:t>
      </w:r>
      <w:r>
        <w:rPr>
          <w:rFonts w:hint="eastAsia" w:ascii="宋体" w:hAnsi="宋体"/>
          <w:szCs w:val="21"/>
        </w:rPr>
        <w:t>服务、项目成果</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如果</w:t>
      </w:r>
      <w:r>
        <w:rPr>
          <w:rFonts w:hint="eastAsia" w:ascii="宋体" w:hAnsi="宋体"/>
          <w:szCs w:val="21"/>
        </w:rPr>
        <w:t>甲</w:t>
      </w:r>
      <w:r>
        <w:rPr>
          <w:rFonts w:ascii="宋体" w:hAnsi="宋体"/>
          <w:szCs w:val="21"/>
        </w:rPr>
        <w:t>方因正常享有或使用</w:t>
      </w:r>
      <w:r>
        <w:rPr>
          <w:rFonts w:hint="eastAsia" w:ascii="宋体" w:hAnsi="宋体"/>
          <w:szCs w:val="21"/>
        </w:rPr>
        <w:t>服务、项目成果</w:t>
      </w:r>
      <w:r>
        <w:rPr>
          <w:rFonts w:ascii="宋体" w:hAnsi="宋体"/>
          <w:szCs w:val="21"/>
        </w:rPr>
        <w:t>而</w:t>
      </w:r>
      <w:r>
        <w:rPr>
          <w:rFonts w:hint="eastAsia" w:ascii="宋体" w:hAnsi="宋体"/>
          <w:szCs w:val="21"/>
        </w:rPr>
        <w:t>被</w:t>
      </w:r>
      <w:r>
        <w:rPr>
          <w:rFonts w:ascii="宋体" w:hAnsi="宋体"/>
          <w:szCs w:val="21"/>
        </w:rPr>
        <w:t>第三人</w:t>
      </w:r>
      <w:r>
        <w:rPr>
          <w:rFonts w:hint="eastAsia" w:ascii="宋体" w:hAnsi="宋体"/>
          <w:szCs w:val="21"/>
        </w:rPr>
        <w:t>指控甲方侵犯其知识产权或其他权利</w:t>
      </w:r>
      <w:r>
        <w:rPr>
          <w:rFonts w:ascii="宋体" w:hAnsi="宋体"/>
          <w:szCs w:val="21"/>
        </w:rPr>
        <w:t>，</w:t>
      </w:r>
      <w:r>
        <w:rPr>
          <w:rFonts w:hint="eastAsia" w:ascii="宋体" w:hAnsi="宋体"/>
          <w:szCs w:val="21"/>
        </w:rPr>
        <w:t>乙方应自费就上述指控为甲方辩护或进行妥善处理，并承担给甲方及第三方造成的一切损失（包括但不限于赔偿金、律师费等）。如乙方不为甲方辩护或不进行妥善处理，甲方可自行处理，甲方与第三方达成的和解协议或法院生效判决由甲方承担的责任，及甲方自行处理所支出的费用（包括但不限于律师费、案件受理费、执行费、差旅费等）由乙方承担。</w:t>
      </w:r>
    </w:p>
    <w:p>
      <w:pPr>
        <w:spacing w:line="360" w:lineRule="auto"/>
        <w:ind w:firstLine="420" w:firstLineChars="200"/>
        <w:rPr>
          <w:rFonts w:ascii="宋体" w:hAnsi="宋体"/>
          <w:szCs w:val="21"/>
        </w:rPr>
      </w:pPr>
      <w:r>
        <w:rPr>
          <w:rFonts w:hint="eastAsia" w:ascii="宋体" w:hAnsi="宋体"/>
          <w:szCs w:val="21"/>
        </w:rPr>
        <w:t>二、在甲方全额付款后，乙方在本合同完成的服务成果（包括但不限于</w:t>
      </w:r>
      <w:r>
        <w:rPr>
          <w:rFonts w:ascii="宋体" w:hAnsi="宋体"/>
          <w:szCs w:val="21"/>
        </w:rPr>
        <w:t>发明、相关技术资料、文档、程序源代码、可执行程序</w:t>
      </w:r>
      <w:r>
        <w:rPr>
          <w:rFonts w:hint="eastAsia" w:ascii="宋体" w:hAnsi="宋体"/>
          <w:szCs w:val="21"/>
        </w:rPr>
        <w:t>等）的知识产权均属于甲方所有，乙方未经甲方书面同意不得擅自将本合同服务成果用于除为本合同目的之外的任何用途，也不得将本合同服务成果提供给任何第三方。</w:t>
      </w:r>
    </w:p>
    <w:p>
      <w:pPr>
        <w:spacing w:line="360" w:lineRule="auto"/>
        <w:ind w:firstLine="420" w:firstLineChars="200"/>
        <w:rPr>
          <w:rFonts w:ascii="宋体" w:hAnsi="宋体"/>
          <w:szCs w:val="21"/>
        </w:rPr>
      </w:pPr>
      <w:r>
        <w:rPr>
          <w:rFonts w:hint="eastAsia" w:ascii="宋体" w:hAnsi="宋体"/>
          <w:szCs w:val="21"/>
        </w:rPr>
        <w:t>三、乙方不得以任何形式（包括但不限于相关技术资料、文档、程序源代码、可执行程序等）将本项目专属的业务功能、交互界面以及客户体验设计提供给第三方使用、复制或传授。也不得与第三方合作开发与甲方相同或类同的新产品、交互界面、客户体验等金融服务。</w:t>
      </w:r>
    </w:p>
    <w:p>
      <w:pPr>
        <w:spacing w:line="360" w:lineRule="auto"/>
        <w:ind w:firstLine="420" w:firstLineChars="200"/>
        <w:rPr>
          <w:rFonts w:ascii="宋体" w:hAnsi="宋体"/>
          <w:szCs w:val="21"/>
        </w:rPr>
      </w:pPr>
      <w:r>
        <w:rPr>
          <w:rFonts w:hint="eastAsia" w:ascii="宋体" w:hAnsi="宋体"/>
          <w:szCs w:val="21"/>
        </w:rPr>
        <w:t>四、甲方拥有本项目所有阶段性成果的知识产权，包括但不限于各类设想方案、业务架构、创意理念、设计规划、业务流程等，乙方不得以任何形式将阶段性成果推介、提供给第三方使用；也不得将应甲方要求而开发的系统或业务服务推介、提供给第三方使用。</w:t>
      </w:r>
    </w:p>
    <w:p>
      <w:pPr>
        <w:spacing w:line="360" w:lineRule="auto"/>
        <w:ind w:firstLine="420" w:firstLineChars="200"/>
        <w:rPr>
          <w:rFonts w:ascii="宋体" w:hAnsi="宋体"/>
          <w:szCs w:val="21"/>
        </w:rPr>
      </w:pPr>
      <w:r>
        <w:rPr>
          <w:rFonts w:hint="eastAsia" w:ascii="宋体" w:hAnsi="宋体"/>
          <w:szCs w:val="21"/>
        </w:rPr>
        <w:t>五、乙方对于自甲方取得且无法自公开渠道获悉的信息负有完全和严格的保密义务。乙方在保护甲方的保密信息时，应采取一切合理和必要的保护措施，其注意义务的标准不低于保护自己的专有的保密信息的标准，防止第三人自乙方获取其所负责保管或接触的保密信息。乙方下属企业、有雇佣关系的职员如果违反以上条款，将由乙方直接承担责任。</w:t>
      </w:r>
    </w:p>
    <w:p>
      <w:pPr>
        <w:spacing w:line="360" w:lineRule="auto"/>
        <w:ind w:firstLine="420" w:firstLineChars="200"/>
        <w:rPr>
          <w:rFonts w:ascii="宋体" w:hAnsi="宋体"/>
          <w:szCs w:val="21"/>
        </w:rPr>
      </w:pPr>
      <w:r>
        <w:rPr>
          <w:rFonts w:hint="eastAsia" w:ascii="宋体" w:hAnsi="宋体"/>
          <w:szCs w:val="21"/>
        </w:rPr>
        <w:t>六、除项目成果外，在本项目开展过程中新产生的工作成果，经甲、乙双方确认的内容亦列入本协议保护之列。工作成果的确认形式，包括但不限于会议纪要确认、需求文档确认等。所有列入本协议保护范围的工作成果，需经甲、乙双方项目经理和项目经理以上直接负责人员签字确认方可生效。</w:t>
      </w:r>
    </w:p>
    <w:p>
      <w:pPr>
        <w:spacing w:line="360" w:lineRule="auto"/>
        <w:ind w:firstLine="420" w:firstLineChars="200"/>
        <w:outlineLvl w:val="1"/>
        <w:rPr>
          <w:rFonts w:ascii="宋体" w:hAnsi="宋体"/>
          <w:b/>
          <w:szCs w:val="21"/>
        </w:rPr>
      </w:pPr>
      <w:r>
        <w:rPr>
          <w:rFonts w:hint="eastAsia" w:ascii="宋体" w:hAnsi="宋体"/>
          <w:b/>
          <w:szCs w:val="21"/>
        </w:rPr>
        <w:t>第九条 服务分包与转包</w:t>
      </w:r>
    </w:p>
    <w:p>
      <w:pPr>
        <w:tabs>
          <w:tab w:val="left" w:pos="1080"/>
        </w:tabs>
        <w:spacing w:line="360" w:lineRule="auto"/>
        <w:ind w:firstLine="420" w:firstLineChars="200"/>
        <w:rPr>
          <w:rFonts w:ascii="宋体" w:hAnsi="宋体"/>
          <w:color w:val="000000"/>
          <w:szCs w:val="21"/>
        </w:rPr>
      </w:pPr>
      <w:r>
        <w:rPr>
          <w:rFonts w:hint="eastAsia" w:ascii="宋体" w:hAnsi="宋体"/>
          <w:color w:val="000000"/>
          <w:szCs w:val="21"/>
        </w:rPr>
        <w:t>乙方</w:t>
      </w:r>
      <w:r>
        <w:rPr>
          <w:rFonts w:ascii="宋体" w:hAnsi="宋体"/>
          <w:color w:val="000000"/>
          <w:szCs w:val="21"/>
        </w:rPr>
        <w:t>不得将</w:t>
      </w:r>
      <w:r>
        <w:rPr>
          <w:rFonts w:hint="eastAsia" w:ascii="宋体" w:hAnsi="宋体"/>
          <w:color w:val="000000"/>
          <w:szCs w:val="21"/>
        </w:rPr>
        <w:t>合同约定</w:t>
      </w:r>
      <w:r>
        <w:rPr>
          <w:rFonts w:ascii="宋体" w:hAnsi="宋体"/>
          <w:color w:val="000000"/>
          <w:szCs w:val="21"/>
        </w:rPr>
        <w:t>的主要业务分包</w:t>
      </w:r>
      <w:r>
        <w:rPr>
          <w:rFonts w:hint="eastAsia" w:ascii="宋体" w:hAnsi="宋体"/>
          <w:color w:val="000000"/>
          <w:szCs w:val="21"/>
        </w:rPr>
        <w:t>，乙方</w:t>
      </w:r>
      <w:r>
        <w:rPr>
          <w:rFonts w:ascii="宋体" w:hAnsi="宋体"/>
          <w:color w:val="000000"/>
          <w:szCs w:val="21"/>
        </w:rPr>
        <w:t>不得将</w:t>
      </w:r>
      <w:r>
        <w:rPr>
          <w:rFonts w:hint="eastAsia" w:ascii="宋体" w:hAnsi="宋体"/>
          <w:color w:val="000000"/>
          <w:szCs w:val="21"/>
        </w:rPr>
        <w:t>服务内容</w:t>
      </w:r>
      <w:r>
        <w:rPr>
          <w:rFonts w:ascii="宋体" w:hAnsi="宋体"/>
          <w:color w:val="000000"/>
          <w:szCs w:val="21"/>
        </w:rPr>
        <w:t>转包或变相转包</w:t>
      </w:r>
      <w:r>
        <w:rPr>
          <w:rFonts w:hint="eastAsia" w:ascii="宋体" w:hAnsi="宋体"/>
          <w:color w:val="000000"/>
          <w:szCs w:val="21"/>
        </w:rPr>
        <w:t>，</w:t>
      </w:r>
      <w:r>
        <w:rPr>
          <w:rFonts w:hint="eastAsia" w:ascii="宋体" w:hAnsi="宋体" w:cs="宋体"/>
          <w:bCs/>
          <w:kern w:val="0"/>
          <w:szCs w:val="21"/>
        </w:rPr>
        <w:t>必须由乙方内部团队完成本项目全部工作。</w:t>
      </w:r>
    </w:p>
    <w:p>
      <w:pPr>
        <w:spacing w:line="360" w:lineRule="auto"/>
        <w:ind w:firstLine="420" w:firstLineChars="200"/>
        <w:outlineLvl w:val="1"/>
        <w:rPr>
          <w:rFonts w:ascii="宋体" w:hAnsi="宋体"/>
          <w:b/>
          <w:szCs w:val="21"/>
        </w:rPr>
      </w:pPr>
      <w:r>
        <w:rPr>
          <w:rFonts w:hint="eastAsia" w:ascii="宋体" w:hAnsi="宋体"/>
          <w:b/>
          <w:szCs w:val="21"/>
        </w:rPr>
        <w:t>第十条 合同责任</w:t>
      </w:r>
    </w:p>
    <w:p>
      <w:pPr>
        <w:tabs>
          <w:tab w:val="left" w:pos="900"/>
        </w:tabs>
        <w:spacing w:line="360" w:lineRule="auto"/>
        <w:ind w:firstLine="420" w:firstLineChars="200"/>
        <w:jc w:val="left"/>
        <w:rPr>
          <w:rFonts w:ascii="宋体" w:hAnsi="宋体"/>
          <w:szCs w:val="21"/>
        </w:rPr>
      </w:pPr>
      <w:r>
        <w:rPr>
          <w:rFonts w:hint="eastAsia" w:ascii="宋体" w:hAnsi="宋体"/>
          <w:szCs w:val="21"/>
        </w:rPr>
        <w:t>一、如果因甲方不按合同约定提供协助，导致乙方不能正常提供服务的，乙方不承担违约责任。</w:t>
      </w:r>
    </w:p>
    <w:p>
      <w:pPr>
        <w:tabs>
          <w:tab w:val="left" w:pos="900"/>
        </w:tabs>
        <w:spacing w:line="360" w:lineRule="auto"/>
        <w:ind w:firstLine="420" w:firstLineChars="200"/>
        <w:rPr>
          <w:rFonts w:ascii="宋体" w:hAnsi="宋体"/>
          <w:color w:val="000000"/>
          <w:szCs w:val="21"/>
        </w:rPr>
      </w:pPr>
      <w:r>
        <w:rPr>
          <w:rFonts w:hint="eastAsia" w:ascii="宋体" w:hAnsi="宋体"/>
          <w:color w:val="000000"/>
          <w:szCs w:val="21"/>
        </w:rPr>
        <w:t>二、乙方逾期履行合同义务的，应按服务费用金额以每日</w:t>
      </w:r>
      <w:r>
        <w:rPr>
          <w:rFonts w:hint="eastAsia" w:ascii="宋体" w:hAnsi="宋体"/>
          <w:b/>
          <w:bCs/>
          <w:color w:val="000000"/>
          <w:szCs w:val="21"/>
        </w:rPr>
        <w:t>1%</w:t>
      </w:r>
      <w:r>
        <w:rPr>
          <w:rFonts w:hint="eastAsia" w:ascii="宋体" w:hAnsi="宋体"/>
          <w:color w:val="000000"/>
          <w:szCs w:val="21"/>
        </w:rPr>
        <w:t>的比例向甲方支付违约金，且赔偿甲方因此所遭受的损失，如甲方要求乙方继续履行合同义务，则乙方应尽最大努力在甲方指定的时间内完成服务。</w:t>
      </w:r>
    </w:p>
    <w:p>
      <w:pPr>
        <w:tabs>
          <w:tab w:val="left" w:pos="900"/>
        </w:tabs>
        <w:spacing w:line="360" w:lineRule="auto"/>
        <w:ind w:firstLine="420" w:firstLineChars="200"/>
        <w:rPr>
          <w:rFonts w:ascii="宋体" w:hAnsi="宋体"/>
          <w:color w:val="000000"/>
          <w:szCs w:val="21"/>
        </w:rPr>
      </w:pPr>
      <w:r>
        <w:rPr>
          <w:rFonts w:hint="eastAsia" w:ascii="宋体" w:hAnsi="宋体"/>
          <w:color w:val="000000"/>
          <w:szCs w:val="21"/>
        </w:rPr>
        <w:t>如逾期履行超过</w:t>
      </w:r>
      <w:r>
        <w:rPr>
          <w:rFonts w:hint="eastAsia" w:ascii="宋体" w:hAnsi="宋体"/>
          <w:b/>
          <w:bCs/>
          <w:color w:val="000000"/>
          <w:szCs w:val="21"/>
        </w:rPr>
        <w:t>5天</w:t>
      </w:r>
      <w:r>
        <w:rPr>
          <w:rFonts w:hint="eastAsia" w:ascii="宋体" w:hAnsi="宋体"/>
          <w:color w:val="000000"/>
          <w:szCs w:val="21"/>
        </w:rPr>
        <w:t>的，甲方有权解除本合同，并要求乙方赔偿损失及退还已收费用。如</w:t>
      </w:r>
      <w:r>
        <w:rPr>
          <w:rFonts w:hint="eastAsia" w:ascii="宋体" w:hAnsi="宋体"/>
          <w:szCs w:val="21"/>
        </w:rPr>
        <w:t>因乙方的其他违约行为造成逾期</w:t>
      </w:r>
      <w:r>
        <w:rPr>
          <w:rFonts w:hint="eastAsia" w:ascii="宋体" w:hAnsi="宋体"/>
          <w:color w:val="000000"/>
          <w:szCs w:val="21"/>
        </w:rPr>
        <w:t>履行合同义务</w:t>
      </w:r>
      <w:r>
        <w:rPr>
          <w:rFonts w:hint="eastAsia" w:ascii="宋体" w:hAnsi="宋体"/>
          <w:szCs w:val="21"/>
        </w:rPr>
        <w:t>的，也按照以上逾期约定处理。</w:t>
      </w:r>
    </w:p>
    <w:p>
      <w:pPr>
        <w:tabs>
          <w:tab w:val="left" w:pos="900"/>
        </w:tabs>
        <w:spacing w:line="360" w:lineRule="auto"/>
        <w:ind w:firstLine="420" w:firstLineChars="200"/>
        <w:rPr>
          <w:rFonts w:ascii="宋体" w:hAnsi="宋体"/>
          <w:szCs w:val="21"/>
        </w:rPr>
      </w:pPr>
      <w:r>
        <w:rPr>
          <w:rFonts w:hint="eastAsia" w:ascii="宋体" w:hAnsi="宋体"/>
          <w:color w:val="000000"/>
          <w:szCs w:val="21"/>
        </w:rPr>
        <w:t>三、除合同另有约定外，如乙方所提供的服务范围、服务质量等不符合合同约定的</w:t>
      </w:r>
      <w:r>
        <w:rPr>
          <w:rFonts w:hint="eastAsia" w:ascii="宋体" w:hAnsi="宋体"/>
          <w:szCs w:val="21"/>
        </w:rPr>
        <w:t>，应按[年度</w:t>
      </w:r>
      <w:r>
        <w:rPr>
          <w:rFonts w:hint="eastAsia" w:ascii="宋体" w:hAnsi="宋体"/>
          <w:color w:val="000000"/>
          <w:szCs w:val="21"/>
          <w:u w:val="single"/>
        </w:rPr>
        <w:t>服务费用金额</w:t>
      </w:r>
      <w:r>
        <w:rPr>
          <w:rFonts w:hint="eastAsia" w:ascii="宋体" w:hAnsi="宋体"/>
          <w:szCs w:val="21"/>
          <w:u w:val="single"/>
        </w:rPr>
        <w:t>的</w:t>
      </w:r>
      <w:r>
        <w:rPr>
          <w:rFonts w:hint="eastAsia" w:ascii="宋体" w:hAnsi="宋体"/>
          <w:b/>
          <w:bCs/>
          <w:szCs w:val="21"/>
          <w:u w:val="single"/>
        </w:rPr>
        <w:t>5%</w:t>
      </w:r>
      <w:r>
        <w:rPr>
          <w:rFonts w:hint="eastAsia" w:ascii="宋体" w:hAnsi="宋体"/>
          <w:szCs w:val="21"/>
          <w:u w:val="single"/>
        </w:rPr>
        <w:t>×违约次数</w:t>
      </w:r>
      <w:r>
        <w:rPr>
          <w:rFonts w:hint="eastAsia" w:ascii="宋体" w:hAnsi="宋体"/>
          <w:szCs w:val="21"/>
        </w:rPr>
        <w:t>向甲方支付违约金，同时赔偿因此给甲方造成的损失。</w:t>
      </w:r>
      <w:r>
        <w:rPr>
          <w:rFonts w:ascii="宋体" w:hAnsi="宋体"/>
          <w:szCs w:val="21"/>
        </w:rPr>
        <w:t>经甲方两次</w:t>
      </w:r>
      <w:r>
        <w:rPr>
          <w:rFonts w:hint="eastAsia" w:ascii="宋体" w:hAnsi="宋体"/>
          <w:szCs w:val="21"/>
        </w:rPr>
        <w:t>书面</w:t>
      </w:r>
      <w:r>
        <w:rPr>
          <w:rFonts w:ascii="宋体" w:hAnsi="宋体"/>
          <w:szCs w:val="21"/>
        </w:rPr>
        <w:t>警告通知</w:t>
      </w:r>
      <w:r>
        <w:rPr>
          <w:rFonts w:hint="eastAsia" w:ascii="宋体" w:hAnsi="宋体"/>
          <w:szCs w:val="21"/>
        </w:rPr>
        <w:t>（含邮件、微信等形式）</w:t>
      </w:r>
      <w:r>
        <w:rPr>
          <w:rFonts w:ascii="宋体" w:hAnsi="宋体"/>
          <w:szCs w:val="21"/>
        </w:rPr>
        <w:t>，</w:t>
      </w:r>
      <w:r>
        <w:rPr>
          <w:rFonts w:hint="eastAsia" w:ascii="宋体" w:hAnsi="宋体"/>
          <w:szCs w:val="21"/>
        </w:rPr>
        <w:t>乙方提供的服务</w:t>
      </w:r>
      <w:r>
        <w:rPr>
          <w:rFonts w:ascii="宋体" w:hAnsi="宋体"/>
          <w:szCs w:val="21"/>
        </w:rPr>
        <w:t>仍未达到</w:t>
      </w:r>
      <w:r>
        <w:rPr>
          <w:rFonts w:hint="eastAsia" w:ascii="宋体" w:hAnsi="宋体"/>
          <w:szCs w:val="21"/>
        </w:rPr>
        <w:t>合同约定的</w:t>
      </w:r>
      <w:r>
        <w:rPr>
          <w:rFonts w:ascii="宋体" w:hAnsi="宋体"/>
          <w:szCs w:val="21"/>
        </w:rPr>
        <w:t>，</w:t>
      </w:r>
      <w:r>
        <w:rPr>
          <w:rFonts w:hint="eastAsia" w:ascii="宋体" w:hAnsi="宋体"/>
          <w:szCs w:val="21"/>
        </w:rPr>
        <w:t>甲方有权拒付全部服务费用、要求赔偿损失并解除本合同。</w:t>
      </w:r>
    </w:p>
    <w:p>
      <w:pPr>
        <w:tabs>
          <w:tab w:val="left" w:pos="900"/>
        </w:tabs>
        <w:spacing w:line="360" w:lineRule="auto"/>
        <w:ind w:firstLine="420" w:firstLineChars="200"/>
        <w:rPr>
          <w:rFonts w:ascii="宋体" w:hAnsi="宋体"/>
          <w:color w:val="000000"/>
          <w:szCs w:val="21"/>
        </w:rPr>
      </w:pPr>
      <w:r>
        <w:rPr>
          <w:rFonts w:hint="eastAsia" w:ascii="宋体" w:hAnsi="宋体"/>
          <w:bCs/>
          <w:szCs w:val="21"/>
        </w:rPr>
        <w:t>如果乙方提供的服务依约定不能通过验收的，乙方应在</w:t>
      </w:r>
      <w:r>
        <w:rPr>
          <w:rFonts w:hint="eastAsia" w:ascii="宋体" w:hAnsi="宋体"/>
          <w:b/>
          <w:szCs w:val="21"/>
        </w:rPr>
        <w:t>5</w:t>
      </w:r>
      <w:r>
        <w:rPr>
          <w:rFonts w:hint="eastAsia" w:ascii="宋体" w:hAnsi="宋体"/>
          <w:bCs/>
          <w:szCs w:val="21"/>
        </w:rPr>
        <w:t>天内重新修改以达到要求，并承担因此发生的所有费用和向甲方支付服</w:t>
      </w:r>
      <w:r>
        <w:rPr>
          <w:rFonts w:hint="eastAsia" w:ascii="宋体" w:hAnsi="宋体"/>
          <w:color w:val="000000"/>
          <w:szCs w:val="21"/>
        </w:rPr>
        <w:t>务费用金额</w:t>
      </w:r>
      <w:r>
        <w:rPr>
          <w:rFonts w:hint="eastAsia" w:ascii="宋体" w:hAnsi="宋体"/>
          <w:szCs w:val="21"/>
        </w:rPr>
        <w:t>的</w:t>
      </w:r>
      <w:r>
        <w:rPr>
          <w:rFonts w:hint="eastAsia" w:ascii="宋体" w:hAnsi="宋体"/>
          <w:b/>
          <w:bCs/>
          <w:szCs w:val="21"/>
        </w:rPr>
        <w:t>1</w:t>
      </w:r>
      <w:r>
        <w:rPr>
          <w:rFonts w:hint="eastAsia" w:ascii="宋体" w:hAnsi="宋体"/>
          <w:b/>
          <w:bCs/>
          <w:szCs w:val="21"/>
          <w:u w:val="single"/>
        </w:rPr>
        <w:t>%</w:t>
      </w:r>
      <w:r>
        <w:rPr>
          <w:rFonts w:hint="eastAsia" w:ascii="宋体" w:hAnsi="宋体"/>
          <w:bCs/>
          <w:szCs w:val="21"/>
        </w:rPr>
        <w:t>违约金。</w:t>
      </w:r>
    </w:p>
    <w:p>
      <w:pPr>
        <w:tabs>
          <w:tab w:val="left" w:pos="900"/>
        </w:tabs>
        <w:spacing w:line="360" w:lineRule="auto"/>
        <w:ind w:firstLine="420" w:firstLineChars="200"/>
        <w:rPr>
          <w:rFonts w:ascii="宋体" w:hAnsi="宋体"/>
          <w:color w:val="000000"/>
          <w:szCs w:val="21"/>
        </w:rPr>
      </w:pPr>
      <w:r>
        <w:rPr>
          <w:rFonts w:hint="eastAsia" w:ascii="宋体" w:hAnsi="宋体"/>
          <w:color w:val="000000"/>
          <w:szCs w:val="21"/>
        </w:rPr>
        <w:t>四、</w:t>
      </w:r>
      <w:r>
        <w:rPr>
          <w:rFonts w:hint="eastAsia" w:ascii="宋体" w:hAnsi="宋体"/>
          <w:szCs w:val="21"/>
        </w:rPr>
        <w:t>如因乙方或其服务人员、代理人的原因给甲方、第三方造成的人身及或财产损害的，乙方应当承担法律责任，以避免甲方蒙受损失。</w:t>
      </w:r>
    </w:p>
    <w:p>
      <w:pPr>
        <w:tabs>
          <w:tab w:val="left" w:pos="900"/>
        </w:tabs>
        <w:spacing w:line="360" w:lineRule="auto"/>
        <w:ind w:firstLine="420" w:firstLineChars="200"/>
        <w:rPr>
          <w:rFonts w:ascii="宋体" w:hAnsi="宋体"/>
          <w:szCs w:val="21"/>
        </w:rPr>
      </w:pPr>
      <w:r>
        <w:rPr>
          <w:rFonts w:hint="eastAsia" w:ascii="宋体" w:hAnsi="宋体"/>
          <w:szCs w:val="21"/>
        </w:rPr>
        <w:t>五、如乙方或其服务人员在履行本合同时，</w:t>
      </w:r>
      <w:r>
        <w:rPr>
          <w:rFonts w:ascii="宋体" w:hAnsi="宋体"/>
          <w:szCs w:val="21"/>
        </w:rPr>
        <w:t>乙方</w:t>
      </w:r>
      <w:r>
        <w:rPr>
          <w:rFonts w:hint="eastAsia" w:ascii="宋体" w:hAnsi="宋体"/>
          <w:szCs w:val="21"/>
        </w:rPr>
        <w:t>服务人员</w:t>
      </w:r>
      <w:r>
        <w:rPr>
          <w:rFonts w:ascii="宋体" w:hAnsi="宋体"/>
          <w:szCs w:val="21"/>
        </w:rPr>
        <w:t>在工作期间</w:t>
      </w:r>
      <w:r>
        <w:rPr>
          <w:rFonts w:hint="eastAsia" w:ascii="宋体" w:hAnsi="宋体"/>
          <w:szCs w:val="21"/>
        </w:rPr>
        <w:t>造成乙方损失或</w:t>
      </w:r>
      <w:r>
        <w:rPr>
          <w:rFonts w:ascii="宋体" w:hAnsi="宋体"/>
          <w:szCs w:val="21"/>
        </w:rPr>
        <w:t>发生工伤事故</w:t>
      </w:r>
      <w:r>
        <w:rPr>
          <w:rFonts w:hint="eastAsia" w:ascii="宋体" w:hAnsi="宋体"/>
          <w:szCs w:val="21"/>
        </w:rPr>
        <w:t>的</w:t>
      </w:r>
      <w:r>
        <w:rPr>
          <w:rFonts w:ascii="宋体" w:hAnsi="宋体"/>
          <w:szCs w:val="21"/>
        </w:rPr>
        <w:t>全部费用由乙方承担，</w:t>
      </w:r>
      <w:r>
        <w:rPr>
          <w:rFonts w:hint="eastAsia" w:ascii="宋体" w:hAnsi="宋体"/>
          <w:szCs w:val="21"/>
        </w:rPr>
        <w:t>甲方对此不承担任何责任。同时，</w:t>
      </w:r>
      <w:r>
        <w:rPr>
          <w:rFonts w:ascii="宋体" w:hAnsi="宋体"/>
          <w:szCs w:val="21"/>
        </w:rPr>
        <w:t>乙方用工应签</w:t>
      </w:r>
      <w:r>
        <w:rPr>
          <w:rFonts w:hint="eastAsia" w:ascii="宋体" w:hAnsi="宋体"/>
          <w:szCs w:val="21"/>
        </w:rPr>
        <w:t>订</w:t>
      </w:r>
      <w:r>
        <w:rPr>
          <w:rFonts w:ascii="宋体" w:hAnsi="宋体"/>
          <w:szCs w:val="21"/>
        </w:rPr>
        <w:t>劳动合同，并办理各种用工手续，如因用工不当给甲方造成损失</w:t>
      </w:r>
      <w:r>
        <w:rPr>
          <w:rFonts w:hint="eastAsia" w:ascii="宋体" w:hAnsi="宋体"/>
          <w:szCs w:val="21"/>
        </w:rPr>
        <w:t>的，</w:t>
      </w:r>
      <w:r>
        <w:rPr>
          <w:rFonts w:ascii="宋体" w:hAnsi="宋体"/>
          <w:szCs w:val="21"/>
        </w:rPr>
        <w:t>由乙方承担。</w:t>
      </w:r>
    </w:p>
    <w:p>
      <w:pPr>
        <w:tabs>
          <w:tab w:val="left" w:pos="900"/>
        </w:tabs>
        <w:spacing w:line="360" w:lineRule="auto"/>
        <w:ind w:firstLine="420" w:firstLineChars="200"/>
        <w:jc w:val="left"/>
        <w:rPr>
          <w:rFonts w:ascii="宋体" w:hAnsi="宋体"/>
          <w:szCs w:val="21"/>
        </w:rPr>
      </w:pPr>
      <w:r>
        <w:rPr>
          <w:rFonts w:hint="eastAsia" w:ascii="宋体" w:hAnsi="宋体"/>
          <w:szCs w:val="21"/>
        </w:rPr>
        <w:t>六、如合同一方发生违约行为（本合同另有约定的除外），在另一方的合理限期（</w:t>
      </w:r>
      <w:r>
        <w:rPr>
          <w:rFonts w:hint="eastAsia" w:ascii="宋体" w:hAnsi="宋体"/>
          <w:b/>
          <w:bCs/>
          <w:szCs w:val="21"/>
          <w:u w:val="single"/>
        </w:rPr>
        <w:t>10</w:t>
      </w:r>
      <w:r>
        <w:rPr>
          <w:rFonts w:hint="eastAsia" w:ascii="宋体" w:hAnsi="宋体"/>
          <w:b/>
          <w:bCs/>
          <w:szCs w:val="21"/>
        </w:rPr>
        <w:t>天</w:t>
      </w:r>
      <w:r>
        <w:rPr>
          <w:rFonts w:hint="eastAsia" w:ascii="宋体" w:hAnsi="宋体"/>
          <w:szCs w:val="21"/>
        </w:rPr>
        <w:t>）内不停止违约行为、继续履行合同或采取补救措施的，另一方有权解除本合同。本合同另有约定的除外。</w:t>
      </w:r>
    </w:p>
    <w:p>
      <w:pPr>
        <w:tabs>
          <w:tab w:val="left" w:pos="900"/>
        </w:tabs>
        <w:spacing w:line="360" w:lineRule="auto"/>
        <w:ind w:firstLine="420" w:firstLineChars="200"/>
        <w:jc w:val="left"/>
        <w:rPr>
          <w:rFonts w:ascii="宋体" w:hAnsi="宋体"/>
          <w:szCs w:val="21"/>
        </w:rPr>
      </w:pPr>
      <w:r>
        <w:rPr>
          <w:rFonts w:hint="eastAsia" w:ascii="宋体" w:hAnsi="宋体"/>
          <w:szCs w:val="21"/>
        </w:rPr>
        <w:t>七、按本合同约定应该偿付的违约金、赔偿金和各种经济损失，应当在明确责任后10天内付清，否则按逾期付款处理。甲方有权在服务费用中扣除以上费用后再向乙方履行本合同的付款义务。</w:t>
      </w:r>
    </w:p>
    <w:p>
      <w:pPr>
        <w:spacing w:line="360" w:lineRule="auto"/>
        <w:ind w:firstLine="420" w:firstLineChars="200"/>
        <w:outlineLvl w:val="1"/>
        <w:rPr>
          <w:rFonts w:ascii="宋体" w:hAnsi="宋体"/>
          <w:b/>
          <w:szCs w:val="21"/>
        </w:rPr>
      </w:pPr>
      <w:r>
        <w:rPr>
          <w:rFonts w:hint="eastAsia" w:ascii="宋体" w:hAnsi="宋体"/>
          <w:b/>
          <w:szCs w:val="21"/>
        </w:rPr>
        <w:t>第十一条 保密条款</w:t>
      </w:r>
    </w:p>
    <w:p>
      <w:pPr>
        <w:tabs>
          <w:tab w:val="left" w:pos="900"/>
        </w:tabs>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本合同拥有信息的一方（“提供方”）根据本合同向另一方（“接受方”）提供的信息(以下统称“保密信息”)，只能由接受方及其人员为本合同目的而使用。接受方将采取合理的措施，对任何与服务有关的专有或保密信息加以保密。除本合同另有规定外，对于提供方提供的任何保密信息，未经提供方的书面同意，接受方及其知悉保密信息的人员均不得直接或间接地以任何方式提供或披露给任何第三方。提供方向接受方提供或披露的保密信息，仅可由接受方为执行本合同需要披露给指定的雇员，并且仅在为执行本合同所需的范围内进行该等披露。</w:t>
      </w:r>
    </w:p>
    <w:p>
      <w:pPr>
        <w:tabs>
          <w:tab w:val="left" w:pos="900"/>
        </w:tabs>
        <w:spacing w:line="360" w:lineRule="auto"/>
        <w:ind w:firstLine="420" w:firstLineChars="200"/>
        <w:jc w:val="left"/>
        <w:rPr>
          <w:rFonts w:ascii="宋体" w:hAnsi="宋体"/>
          <w:szCs w:val="21"/>
        </w:rPr>
      </w:pPr>
      <w:r>
        <w:rPr>
          <w:rFonts w:hint="eastAsia" w:ascii="宋体" w:hAnsi="宋体"/>
          <w:szCs w:val="21"/>
        </w:rPr>
        <w:t>本条所约定的保密义务不适用于已合法公开的信息。</w:t>
      </w:r>
    </w:p>
    <w:p>
      <w:pPr>
        <w:tabs>
          <w:tab w:val="left" w:pos="900"/>
        </w:tabs>
        <w:spacing w:line="360" w:lineRule="auto"/>
        <w:ind w:firstLine="420" w:firstLineChars="200"/>
        <w:jc w:val="left"/>
        <w:rPr>
          <w:rFonts w:ascii="宋体" w:hAnsi="宋体"/>
          <w:bCs/>
          <w:szCs w:val="21"/>
        </w:rPr>
      </w:pPr>
      <w:r>
        <w:rPr>
          <w:rFonts w:hint="eastAsia" w:ascii="宋体" w:hAnsi="宋体"/>
          <w:szCs w:val="21"/>
        </w:rPr>
        <w:t>二、乙方有义务对通过该业务获得的所有甲方客户资料予以保密。未经甲方事先书面同意，乙方不得将客户资料用于为本合同目的使用之外的任何用途，也不得</w:t>
      </w:r>
      <w:r>
        <w:rPr>
          <w:rFonts w:ascii="宋体" w:hAnsi="宋体"/>
          <w:szCs w:val="21"/>
        </w:rPr>
        <w:t>直接或间接地</w:t>
      </w:r>
      <w:r>
        <w:rPr>
          <w:rFonts w:ascii="宋体" w:hAnsi="宋体" w:cs="Arial"/>
          <w:szCs w:val="21"/>
        </w:rPr>
        <w:t>以任何方式提供或披露给任何第三方</w:t>
      </w:r>
      <w:r>
        <w:rPr>
          <w:rFonts w:hint="eastAsia" w:ascii="宋体" w:hAnsi="宋体"/>
          <w:szCs w:val="21"/>
        </w:rPr>
        <w:t>。</w:t>
      </w:r>
    </w:p>
    <w:p>
      <w:pPr>
        <w:spacing w:line="360" w:lineRule="auto"/>
        <w:ind w:firstLine="480"/>
        <w:rPr>
          <w:rFonts w:ascii="宋体" w:hAnsi="宋体"/>
          <w:kern w:val="0"/>
          <w:szCs w:val="21"/>
        </w:rPr>
      </w:pPr>
      <w:r>
        <w:rPr>
          <w:rFonts w:hint="eastAsia" w:ascii="宋体" w:hAnsi="宋体"/>
          <w:bCs/>
          <w:szCs w:val="21"/>
        </w:rPr>
        <w:t>三、</w:t>
      </w:r>
      <w:r>
        <w:rPr>
          <w:rFonts w:hint="eastAsia" w:ascii="宋体" w:hAnsi="宋体"/>
          <w:kern w:val="0"/>
          <w:szCs w:val="21"/>
        </w:rPr>
        <w:t>本条规定的保密义务不因本合同的变更、解除或终止而终止。</w:t>
      </w:r>
    </w:p>
    <w:p>
      <w:pPr>
        <w:spacing w:line="360" w:lineRule="auto"/>
        <w:ind w:firstLine="420" w:firstLineChars="200"/>
        <w:outlineLvl w:val="1"/>
        <w:rPr>
          <w:rFonts w:ascii="宋体" w:hAnsi="宋体"/>
          <w:b/>
          <w:szCs w:val="21"/>
        </w:rPr>
      </w:pPr>
      <w:r>
        <w:rPr>
          <w:rFonts w:hint="eastAsia" w:ascii="宋体" w:hAnsi="宋体"/>
          <w:b/>
          <w:szCs w:val="21"/>
        </w:rPr>
        <w:t>第十二条 不可抗力</w:t>
      </w:r>
      <w:r>
        <w:rPr>
          <w:rFonts w:ascii="宋体" w:hAnsi="宋体"/>
          <w:b/>
          <w:szCs w:val="21"/>
        </w:rPr>
        <w:t xml:space="preserve">  </w:t>
      </w:r>
    </w:p>
    <w:p>
      <w:pPr>
        <w:tabs>
          <w:tab w:val="left" w:pos="0"/>
        </w:tabs>
        <w:snapToGrid w:val="0"/>
        <w:spacing w:line="360" w:lineRule="auto"/>
        <w:ind w:firstLine="420" w:firstLineChars="200"/>
        <w:rPr>
          <w:rFonts w:ascii="宋体" w:hAnsi="宋体"/>
          <w:szCs w:val="21"/>
        </w:rPr>
      </w:pPr>
      <w:r>
        <w:rPr>
          <w:rFonts w:hint="eastAsia" w:ascii="宋体" w:hAnsi="宋体"/>
          <w:szCs w:val="21"/>
        </w:rPr>
        <w:t>一、不可抗力系指甲、乙双方在缔结合同时所不能预见的，并且它的发生及其后果是无法避免和无法克服的客观情况，如地震、火灾、兵变、洪水等。</w:t>
      </w:r>
    </w:p>
    <w:p>
      <w:pPr>
        <w:spacing w:line="360" w:lineRule="auto"/>
        <w:ind w:firstLine="420" w:firstLineChars="200"/>
        <w:rPr>
          <w:rFonts w:ascii="宋体" w:hAnsi="宋体"/>
          <w:szCs w:val="21"/>
        </w:rPr>
      </w:pPr>
      <w:r>
        <w:rPr>
          <w:rFonts w:hint="eastAsia" w:ascii="宋体" w:hAnsi="宋体"/>
          <w:szCs w:val="21"/>
        </w:rPr>
        <w:t>二、任何一方由于不可抗力的原因不能履行合同时，应及时向对方通报不能履行或不能完全履行的理由，发生不可抗力的一方应当在壹个月内提供权威部门出具的有效证明，作为发生不可抗力情况的证明。在取得有关机构证明以后，允许延期履行、部分履行或者不履行合同，双方对此互不提出赔偿责任。</w:t>
      </w:r>
    </w:p>
    <w:p>
      <w:pPr>
        <w:spacing w:line="360" w:lineRule="auto"/>
        <w:ind w:firstLine="420" w:firstLineChars="200"/>
        <w:rPr>
          <w:rFonts w:ascii="宋体" w:hAnsi="宋体"/>
          <w:szCs w:val="21"/>
        </w:rPr>
      </w:pPr>
      <w:r>
        <w:rPr>
          <w:rFonts w:hint="eastAsia" w:ascii="宋体" w:hAnsi="宋体"/>
          <w:szCs w:val="21"/>
        </w:rPr>
        <w:t>三、</w:t>
      </w:r>
      <w:r>
        <w:rPr>
          <w:rFonts w:ascii="宋体" w:hAnsi="宋体" w:cs="Arial"/>
          <w:szCs w:val="21"/>
        </w:rPr>
        <w:t>不可抗力事件终止或被排除后，受阻方应继续履行本合同，并应尽快通知另一方。受阻方可延长履行义务的时间，延长期应相当于不可抗力事件实际造成延误的时间。如果不可抗力事件的影响持续达三十（30）日或以上时，双方应根据该事件对本合同履行的影响程度协商并对本合同的履行时间表做出修改。如在一方发出协商书面通知之日起十（10）日内双方无法就此达成一致，任何一方均有权解除本合同而无需承担违约责任。</w:t>
      </w:r>
    </w:p>
    <w:p>
      <w:pPr>
        <w:spacing w:line="360" w:lineRule="auto"/>
        <w:ind w:firstLine="420" w:firstLineChars="200"/>
        <w:outlineLvl w:val="1"/>
        <w:rPr>
          <w:rFonts w:ascii="宋体" w:hAnsi="宋体"/>
          <w:b/>
          <w:szCs w:val="21"/>
        </w:rPr>
      </w:pPr>
      <w:r>
        <w:rPr>
          <w:rFonts w:hint="eastAsia" w:ascii="宋体" w:hAnsi="宋体"/>
          <w:b/>
          <w:szCs w:val="21"/>
        </w:rPr>
        <w:t>第十三条 合同生效、变更与解除</w:t>
      </w:r>
    </w:p>
    <w:p>
      <w:pPr>
        <w:spacing w:line="360" w:lineRule="auto"/>
        <w:ind w:firstLine="420" w:firstLineChars="200"/>
        <w:rPr>
          <w:rFonts w:ascii="宋体" w:hAnsi="宋体" w:cs="Arial"/>
          <w:kern w:val="0"/>
          <w:szCs w:val="21"/>
        </w:rPr>
      </w:pPr>
      <w:r>
        <w:rPr>
          <w:rFonts w:hint="eastAsia" w:ascii="宋体" w:hAnsi="宋体"/>
          <w:szCs w:val="21"/>
        </w:rPr>
        <w:t>一、本合同自各方签字盖章之日起生效，有效期壹年。</w:t>
      </w:r>
      <w:r>
        <w:rPr>
          <w:rFonts w:hint="eastAsia" w:ascii="宋体" w:hAnsi="宋体" w:cs="Arial"/>
          <w:kern w:val="0"/>
          <w:szCs w:val="21"/>
        </w:rPr>
        <w:t>合作期间甲方对乙方提供的服务进行月度考评，并将实行考核奖惩机制。连续两个月度评估未达甲方设定的标准要求，乙方应向甲方提交限期改进方案，如服务未改善，甲方有权单方面提出解除合约。</w:t>
      </w:r>
    </w:p>
    <w:p>
      <w:pPr>
        <w:spacing w:line="360" w:lineRule="auto"/>
        <w:ind w:right="71" w:firstLine="420" w:firstLineChars="200"/>
        <w:rPr>
          <w:rFonts w:ascii="宋体" w:hAnsi="宋体"/>
          <w:snapToGrid w:val="0"/>
          <w:szCs w:val="21"/>
        </w:rPr>
      </w:pPr>
      <w:r>
        <w:rPr>
          <w:rFonts w:hint="eastAsia" w:ascii="宋体" w:hAnsi="宋体"/>
          <w:szCs w:val="21"/>
        </w:rPr>
        <w:t>二、</w:t>
      </w:r>
      <w:r>
        <w:rPr>
          <w:rFonts w:hint="eastAsia" w:ascii="宋体" w:hAnsi="宋体"/>
          <w:snapToGrid w:val="0"/>
          <w:szCs w:val="21"/>
        </w:rPr>
        <w:t>选择适用条款。（如选择适用该条款，请在括号内打“√”；打“×”或不做任何标识的，视为双方同意不适用该条款）</w:t>
      </w:r>
    </w:p>
    <w:p>
      <w:pPr>
        <w:tabs>
          <w:tab w:val="left" w:pos="900"/>
        </w:tabs>
        <w:spacing w:line="360" w:lineRule="auto"/>
        <w:ind w:firstLine="420" w:firstLineChars="200"/>
        <w:rPr>
          <w:rFonts w:ascii="宋体" w:hAnsi="宋体"/>
          <w:szCs w:val="21"/>
        </w:rPr>
      </w:pPr>
      <w:r>
        <w:rPr>
          <w:rFonts w:hint="eastAsia" w:ascii="宋体" w:hAnsi="宋体"/>
          <w:snapToGrid w:val="0"/>
          <w:szCs w:val="21"/>
        </w:rPr>
        <w:t>（×）</w:t>
      </w:r>
      <w:r>
        <w:rPr>
          <w:rFonts w:hint="eastAsia" w:ascii="宋体" w:hAnsi="宋体"/>
          <w:spacing w:val="-4"/>
          <w:szCs w:val="21"/>
        </w:rPr>
        <w:t>若各方至合同有效期（本条第一项）届满前____日均未提出异议的，则本合同期限将自动延续[    ]（时间），延续次数[ 为一次  ]</w:t>
      </w:r>
      <w:r>
        <w:rPr>
          <w:rFonts w:hint="eastAsia" w:ascii="宋体" w:hAnsi="宋体"/>
          <w:snapToGrid w:val="0"/>
          <w:szCs w:val="21"/>
        </w:rPr>
        <w:t>。</w:t>
      </w:r>
    </w:p>
    <w:p>
      <w:pPr>
        <w:tabs>
          <w:tab w:val="left" w:pos="900"/>
        </w:tabs>
        <w:spacing w:line="360" w:lineRule="auto"/>
        <w:ind w:firstLine="420" w:firstLineChars="200"/>
        <w:rPr>
          <w:rFonts w:ascii="宋体" w:hAnsi="宋体"/>
          <w:szCs w:val="21"/>
        </w:rPr>
      </w:pPr>
      <w:r>
        <w:rPr>
          <w:rFonts w:hint="eastAsia" w:ascii="宋体" w:hAnsi="宋体"/>
          <w:szCs w:val="21"/>
        </w:rPr>
        <w:t>三、在合同履行过程中，双方经协商一致达成书面协议后可以变更或解除本合同；此外，合同当事人可依法或依本合同的约定行使合同解除权。</w:t>
      </w:r>
    </w:p>
    <w:p>
      <w:pPr>
        <w:spacing w:line="360" w:lineRule="auto"/>
        <w:ind w:firstLine="420" w:firstLineChars="200"/>
        <w:outlineLvl w:val="1"/>
        <w:rPr>
          <w:rFonts w:ascii="宋体" w:hAnsi="宋体"/>
          <w:b/>
          <w:szCs w:val="21"/>
        </w:rPr>
      </w:pPr>
      <w:r>
        <w:rPr>
          <w:rFonts w:hint="eastAsia" w:ascii="宋体" w:hAnsi="宋体"/>
          <w:b/>
          <w:szCs w:val="21"/>
        </w:rPr>
        <w:t>第十四条 反贪污贿赂条款</w:t>
      </w:r>
    </w:p>
    <w:p>
      <w:pPr>
        <w:tabs>
          <w:tab w:val="left" w:pos="900"/>
        </w:tabs>
        <w:spacing w:line="360" w:lineRule="auto"/>
        <w:ind w:firstLine="420" w:firstLineChars="200"/>
        <w:rPr>
          <w:rFonts w:ascii="宋体" w:hAnsi="宋体"/>
          <w:szCs w:val="21"/>
        </w:rPr>
      </w:pPr>
      <w:r>
        <w:rPr>
          <w:rFonts w:hint="eastAsia" w:ascii="宋体" w:hAnsi="宋体"/>
          <w:szCs w:val="21"/>
        </w:rPr>
        <w:t>一、合同各方都清楚并愿意一致严格遵守中华人民共和国反贪污贿赂的法律规定。</w:t>
      </w:r>
    </w:p>
    <w:p>
      <w:pPr>
        <w:tabs>
          <w:tab w:val="left" w:pos="900"/>
        </w:tabs>
        <w:spacing w:line="360" w:lineRule="auto"/>
        <w:ind w:firstLine="420" w:firstLineChars="200"/>
        <w:rPr>
          <w:rFonts w:ascii="宋体" w:hAnsi="宋体"/>
          <w:szCs w:val="21"/>
        </w:rPr>
      </w:pPr>
      <w:r>
        <w:rPr>
          <w:rFonts w:hint="eastAsia" w:ascii="宋体" w:hAnsi="宋体"/>
          <w:szCs w:val="21"/>
        </w:rPr>
        <w:t>二、如乙方或乙方经办人给予或承诺给予甲方主要负责人、经办人或其他相关人员协议约定外的包括但不限于回扣、好处费、现金、有价证券、购物卡、礼品、旅游等形式的不正当利益，一经发现，甲方有权解除协议且不承担任何责任；同时，乙方须向甲方支付本协议标的额__20%_的违约金；</w:t>
      </w:r>
    </w:p>
    <w:p>
      <w:pPr>
        <w:tabs>
          <w:tab w:val="left" w:pos="900"/>
        </w:tabs>
        <w:spacing w:line="360" w:lineRule="auto"/>
        <w:ind w:firstLine="420" w:firstLineChars="200"/>
        <w:rPr>
          <w:rFonts w:ascii="宋体" w:hAnsi="宋体"/>
          <w:szCs w:val="21"/>
        </w:rPr>
      </w:pPr>
      <w:r>
        <w:rPr>
          <w:rFonts w:hint="eastAsia" w:ascii="宋体" w:hAnsi="宋体"/>
          <w:szCs w:val="21"/>
        </w:rPr>
        <w:t>三、本条所称“其他相关人员”是指甲方主要负责人、经办人以外的与协议有直接或间接利益关系的人员，包括但不仅限于协议主要负责人、经办人的亲友。</w:t>
      </w:r>
    </w:p>
    <w:p>
      <w:pPr>
        <w:spacing w:line="360" w:lineRule="auto"/>
        <w:ind w:firstLine="420" w:firstLineChars="200"/>
        <w:outlineLvl w:val="1"/>
        <w:rPr>
          <w:rFonts w:ascii="宋体" w:hAnsi="宋体"/>
          <w:b/>
          <w:szCs w:val="21"/>
        </w:rPr>
      </w:pPr>
      <w:r>
        <w:rPr>
          <w:rFonts w:hint="eastAsia" w:ascii="宋体" w:hAnsi="宋体"/>
          <w:b/>
          <w:szCs w:val="21"/>
        </w:rPr>
        <w:t>第十五条 法律适用及争议解决</w:t>
      </w:r>
    </w:p>
    <w:p>
      <w:pPr>
        <w:spacing w:line="360" w:lineRule="auto"/>
        <w:ind w:left="36" w:leftChars="17" w:firstLine="420" w:firstLineChars="200"/>
        <w:rPr>
          <w:rFonts w:ascii="宋体" w:hAnsi="宋体"/>
          <w:szCs w:val="21"/>
        </w:rPr>
      </w:pPr>
      <w:r>
        <w:rPr>
          <w:rFonts w:hint="eastAsia" w:ascii="宋体" w:hAnsi="宋体"/>
          <w:szCs w:val="21"/>
        </w:rPr>
        <w:t>一、本合同适用中华人民共和国法律。</w:t>
      </w:r>
    </w:p>
    <w:p>
      <w:pPr>
        <w:spacing w:line="360" w:lineRule="auto"/>
        <w:ind w:left="36" w:leftChars="17" w:firstLine="420" w:firstLineChars="200"/>
        <w:rPr>
          <w:rFonts w:ascii="宋体" w:hAnsi="宋体"/>
          <w:szCs w:val="21"/>
        </w:rPr>
      </w:pPr>
      <w:r>
        <w:rPr>
          <w:rFonts w:hint="eastAsia" w:ascii="宋体" w:hAnsi="宋体"/>
          <w:szCs w:val="21"/>
        </w:rPr>
        <w:t>二、甲、乙双方在履行本合同过程中若发生争议，首先应协商解决；协商不成的，可通过以下第</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hint="eastAsia" w:ascii="宋体" w:hAnsi="宋体"/>
          <w:szCs w:val="21"/>
        </w:rPr>
        <w:t>种方式解决：</w:t>
      </w:r>
    </w:p>
    <w:p>
      <w:pPr>
        <w:spacing w:line="360" w:lineRule="auto"/>
        <w:ind w:firstLine="472" w:firstLineChars="225"/>
        <w:rPr>
          <w:rFonts w:ascii="宋体" w:hAnsi="宋体"/>
          <w:szCs w:val="21"/>
        </w:rPr>
      </w:pPr>
      <w:r>
        <w:rPr>
          <w:rFonts w:ascii="宋体" w:hAnsi="宋体"/>
          <w:szCs w:val="21"/>
        </w:rPr>
        <w:t>1、在甲方所在地法院通过诉讼方式；</w:t>
      </w:r>
    </w:p>
    <w:p>
      <w:pPr>
        <w:spacing w:line="360" w:lineRule="auto"/>
        <w:ind w:left="36" w:leftChars="17" w:firstLine="420" w:firstLineChars="200"/>
        <w:rPr>
          <w:rFonts w:ascii="宋体" w:hAnsi="宋体"/>
          <w:szCs w:val="21"/>
        </w:rPr>
      </w:pPr>
      <w:r>
        <w:rPr>
          <w:rFonts w:ascii="宋体" w:hAnsi="宋体"/>
          <w:szCs w:val="21"/>
        </w:rPr>
        <w:t>2、</w:t>
      </w:r>
      <w:r>
        <w:rPr>
          <w:rFonts w:hint="eastAsia" w:ascii="宋体" w:hAnsi="宋体"/>
          <w:szCs w:val="21"/>
        </w:rPr>
        <w:t>提交</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               </w:t>
      </w:r>
      <w:r>
        <w:rPr>
          <w:rFonts w:hint="eastAsia" w:ascii="宋体" w:hAnsi="宋体"/>
          <w:szCs w:val="21"/>
        </w:rPr>
        <w:t>仲裁委员会进行仲裁，仲裁地点为</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       </w:t>
      </w:r>
      <w:r>
        <w:rPr>
          <w:rFonts w:hint="eastAsia" w:ascii="宋体" w:hAnsi="宋体"/>
          <w:szCs w:val="21"/>
        </w:rPr>
        <w:t>。</w:t>
      </w:r>
    </w:p>
    <w:p>
      <w:pPr>
        <w:spacing w:line="360" w:lineRule="auto"/>
        <w:ind w:firstLine="420" w:firstLineChars="200"/>
        <w:outlineLvl w:val="1"/>
        <w:rPr>
          <w:rFonts w:ascii="宋体" w:hAnsi="宋体"/>
          <w:b/>
          <w:szCs w:val="21"/>
        </w:rPr>
      </w:pPr>
      <w:r>
        <w:rPr>
          <w:rFonts w:hint="eastAsia" w:ascii="宋体" w:hAnsi="宋体"/>
          <w:b/>
          <w:szCs w:val="21"/>
        </w:rPr>
        <w:t>第十六条 附则</w:t>
      </w:r>
    </w:p>
    <w:p>
      <w:pPr>
        <w:tabs>
          <w:tab w:val="left" w:pos="900"/>
          <w:tab w:val="left" w:pos="1080"/>
          <w:tab w:val="left" w:pos="1260"/>
        </w:tabs>
        <w:spacing w:line="360" w:lineRule="auto"/>
        <w:ind w:firstLine="420" w:firstLineChars="200"/>
        <w:rPr>
          <w:rFonts w:ascii="宋体" w:hAnsi="宋体"/>
          <w:color w:val="000000"/>
          <w:szCs w:val="21"/>
        </w:rPr>
      </w:pPr>
      <w:r>
        <w:rPr>
          <w:rFonts w:hint="eastAsia" w:ascii="宋体" w:hAnsi="宋体"/>
          <w:color w:val="000000"/>
          <w:szCs w:val="21"/>
        </w:rPr>
        <w:t>一、本合同附件一《服务项目书》、附件二《付款约定书》、附件三（服务人员基本情况及资质证明文件）作为本合同不可分割部分，与本合同具有同等法律效力。</w:t>
      </w:r>
      <w:r>
        <w:rPr>
          <w:rFonts w:hint="eastAsia" w:ascii="宋体" w:hAnsi="宋体"/>
          <w:snapToGrid w:val="0"/>
          <w:color w:val="000000"/>
          <w:szCs w:val="21"/>
        </w:rPr>
        <w:t>本合同以及所有附件、清单、订单、补遗构成双方签订的整个合同，取代了双方先前签订的有关本合作项目的书面或口头协议、备忘录、承诺、声明、理解和协商。</w:t>
      </w:r>
    </w:p>
    <w:p>
      <w:pPr>
        <w:spacing w:line="360" w:lineRule="auto"/>
        <w:rPr>
          <w:rFonts w:ascii="宋体" w:hAnsi="宋体"/>
          <w:color w:val="000000"/>
          <w:szCs w:val="21"/>
        </w:rPr>
      </w:pPr>
      <w:r>
        <w:rPr>
          <w:rFonts w:hint="eastAsia" w:ascii="宋体" w:hAnsi="宋体"/>
          <w:color w:val="000000"/>
          <w:szCs w:val="21"/>
        </w:rPr>
        <w:t>二、双方业务联系方式</w:t>
      </w:r>
    </w:p>
    <w:p>
      <w:pPr>
        <w:spacing w:line="360" w:lineRule="auto"/>
        <w:ind w:firstLine="420" w:firstLineChars="200"/>
        <w:rPr>
          <w:rFonts w:ascii="宋体" w:hAnsi="宋体"/>
          <w:color w:val="000000"/>
          <w:szCs w:val="21"/>
        </w:rPr>
      </w:pPr>
      <w:r>
        <w:rPr>
          <w:rFonts w:hint="eastAsia" w:ascii="宋体" w:hAnsi="宋体"/>
          <w:color w:val="000000"/>
          <w:szCs w:val="21"/>
        </w:rPr>
        <w:t>甲方经办人员：[    ]，电子邮件：[             ]，电话：[            ]。</w:t>
      </w:r>
    </w:p>
    <w:p>
      <w:pPr>
        <w:spacing w:line="360" w:lineRule="auto"/>
        <w:ind w:firstLine="420" w:firstLineChars="200"/>
        <w:rPr>
          <w:rFonts w:ascii="宋体" w:hAnsi="宋体"/>
          <w:szCs w:val="21"/>
        </w:rPr>
      </w:pPr>
      <w:r>
        <w:rPr>
          <w:rFonts w:hint="eastAsia" w:ascii="宋体" w:hAnsi="宋体"/>
          <w:szCs w:val="21"/>
        </w:rPr>
        <w:t xml:space="preserve">乙方经办人员：[    ]，电子邮件：[             ]，电话：[            ]。 </w:t>
      </w:r>
    </w:p>
    <w:p>
      <w:pPr>
        <w:tabs>
          <w:tab w:val="left" w:pos="900"/>
          <w:tab w:val="left" w:pos="1080"/>
          <w:tab w:val="left" w:pos="1260"/>
        </w:tabs>
        <w:spacing w:line="360" w:lineRule="auto"/>
        <w:ind w:firstLine="420" w:firstLineChars="200"/>
        <w:rPr>
          <w:rFonts w:ascii="宋体" w:hAnsi="宋体"/>
          <w:color w:val="000000"/>
          <w:szCs w:val="21"/>
        </w:rPr>
      </w:pPr>
      <w:r>
        <w:rPr>
          <w:rFonts w:hint="eastAsia" w:ascii="宋体" w:hAnsi="宋体"/>
          <w:color w:val="000000"/>
          <w:szCs w:val="21"/>
        </w:rPr>
        <w:t>本合同规定和与本合同有关的所有联络均应按照收件的一方于本合同确定之地址或电子邮件发出。上述联络如直接交付（包括通过邮件递送公司递交），则在交付时视为收讫；如通过预付邮资的挂号邮件寄出，则寄出七天后视为收讫；如果通过电子邮件发出的，则在电子邮件发出即时视为收讫。如双方变更联络方式的，应提前书面通知对方。</w:t>
      </w:r>
    </w:p>
    <w:p>
      <w:pPr>
        <w:tabs>
          <w:tab w:val="left" w:pos="900"/>
          <w:tab w:val="left" w:pos="1080"/>
          <w:tab w:val="left" w:pos="1260"/>
        </w:tabs>
        <w:spacing w:line="360" w:lineRule="auto"/>
        <w:ind w:firstLine="420" w:firstLineChars="200"/>
        <w:rPr>
          <w:rFonts w:ascii="宋体" w:hAnsi="宋体"/>
          <w:color w:val="000000"/>
          <w:szCs w:val="21"/>
        </w:rPr>
      </w:pPr>
      <w:r>
        <w:rPr>
          <w:rFonts w:hint="eastAsia" w:ascii="宋体" w:hAnsi="宋体"/>
          <w:color w:val="000000"/>
          <w:szCs w:val="21"/>
        </w:rPr>
        <w:t>但对于合同履行中的重大事项，如双方协商对合同进行重要变更或解除等（当事人依法或依约定单方面行使合同变更、解除权的除外），不能以经办人员协商或确认的方式进行。</w:t>
      </w:r>
    </w:p>
    <w:p>
      <w:pPr>
        <w:tabs>
          <w:tab w:val="left" w:pos="900"/>
        </w:tabs>
        <w:spacing w:line="360" w:lineRule="auto"/>
        <w:ind w:firstLine="420" w:firstLineChars="200"/>
        <w:rPr>
          <w:rFonts w:ascii="宋体" w:hAnsi="宋体"/>
          <w:szCs w:val="21"/>
        </w:rPr>
      </w:pPr>
      <w:r>
        <w:rPr>
          <w:rFonts w:hint="eastAsia" w:ascii="宋体" w:hAnsi="宋体"/>
          <w:szCs w:val="21"/>
        </w:rPr>
        <w:t>三、本合同一式</w:t>
      </w:r>
      <w:r>
        <w:rPr>
          <w:rFonts w:hint="eastAsia" w:ascii="宋体" w:hAnsi="宋体"/>
          <w:b/>
          <w:bCs/>
          <w:szCs w:val="21"/>
        </w:rPr>
        <w:t>[</w:t>
      </w:r>
      <w:r>
        <w:rPr>
          <w:rFonts w:hint="eastAsia" w:ascii="宋体" w:hAnsi="宋体"/>
          <w:b/>
          <w:bCs/>
          <w:szCs w:val="21"/>
          <w:u w:val="single"/>
        </w:rPr>
        <w:t xml:space="preserve"> 肆 ]</w:t>
      </w:r>
      <w:r>
        <w:rPr>
          <w:rFonts w:hint="eastAsia" w:ascii="宋体" w:hAnsi="宋体"/>
          <w:szCs w:val="21"/>
        </w:rPr>
        <w:t>份，双方各执</w:t>
      </w:r>
      <w:r>
        <w:rPr>
          <w:rFonts w:hint="eastAsia" w:ascii="宋体" w:hAnsi="宋体"/>
          <w:b/>
          <w:bCs/>
          <w:szCs w:val="21"/>
        </w:rPr>
        <w:t>[</w:t>
      </w:r>
      <w:r>
        <w:rPr>
          <w:rFonts w:hint="eastAsia" w:ascii="宋体" w:hAnsi="宋体"/>
          <w:b/>
          <w:bCs/>
          <w:szCs w:val="21"/>
          <w:u w:val="single"/>
        </w:rPr>
        <w:t xml:space="preserve"> 贰 ]</w:t>
      </w:r>
      <w:r>
        <w:rPr>
          <w:rFonts w:hint="eastAsia" w:ascii="宋体" w:hAnsi="宋体"/>
          <w:szCs w:val="21"/>
        </w:rPr>
        <w:t>份，具有同等法律效力。</w:t>
      </w:r>
    </w:p>
    <w:p>
      <w:pPr>
        <w:spacing w:line="360" w:lineRule="auto"/>
        <w:ind w:firstLine="420" w:firstLineChars="200"/>
        <w:outlineLvl w:val="1"/>
        <w:rPr>
          <w:rFonts w:ascii="宋体" w:hAnsi="宋体"/>
          <w:b/>
          <w:szCs w:val="21"/>
        </w:rPr>
      </w:pPr>
      <w:r>
        <w:rPr>
          <w:rFonts w:hint="eastAsia" w:ascii="宋体" w:hAnsi="宋体"/>
          <w:b/>
          <w:szCs w:val="21"/>
        </w:rPr>
        <w:t>第十七条 其他约定（可另附页）</w:t>
      </w:r>
    </w:p>
    <w:p>
      <w:pPr>
        <w:tabs>
          <w:tab w:val="left" w:pos="900"/>
        </w:tabs>
        <w:spacing w:line="360" w:lineRule="auto"/>
        <w:rPr>
          <w:rFonts w:ascii="宋体" w:hAnsi="宋体"/>
          <w:szCs w:val="21"/>
        </w:rPr>
      </w:pPr>
      <w:r>
        <w:rPr>
          <w:rFonts w:hint="eastAsia" w:ascii="宋体" w:hAnsi="宋体"/>
          <w:szCs w:val="21"/>
        </w:rPr>
        <w:t>_____________________________________________________________________</w:t>
      </w:r>
      <w:r>
        <w:rPr>
          <w:rFonts w:hint="eastAsia" w:ascii="宋体" w:hAnsi="宋体"/>
          <w:szCs w:val="21"/>
          <w:u w:val="single"/>
        </w:rPr>
        <w:t xml:space="preserve"> </w:t>
      </w:r>
    </w:p>
    <w:p>
      <w:pPr>
        <w:spacing w:line="360" w:lineRule="auto"/>
        <w:rPr>
          <w:rFonts w:ascii="宋体" w:hAnsi="宋体"/>
          <w:bCs/>
          <w:szCs w:val="21"/>
        </w:rPr>
      </w:pPr>
      <w:r>
        <w:rPr>
          <w:rFonts w:hint="eastAsia" w:ascii="宋体" w:hAnsi="宋体"/>
          <w:bCs/>
          <w:szCs w:val="21"/>
          <w:u w:val="single"/>
        </w:rPr>
        <w:t xml:space="preserve">                                                                      </w:t>
      </w:r>
    </w:p>
    <w:p>
      <w:pPr>
        <w:spacing w:line="360" w:lineRule="auto"/>
        <w:rPr>
          <w:rFonts w:ascii="宋体" w:hAnsi="宋体"/>
          <w:b/>
          <w:szCs w:val="21"/>
        </w:rPr>
      </w:pPr>
    </w:p>
    <w:p>
      <w:pPr>
        <w:spacing w:line="360" w:lineRule="auto"/>
        <w:rPr>
          <w:rFonts w:ascii="宋体" w:hAnsi="宋体"/>
          <w:snapToGrid w:val="0"/>
          <w:szCs w:val="21"/>
        </w:rPr>
      </w:pPr>
      <w:r>
        <w:rPr>
          <w:rFonts w:hint="eastAsia" w:ascii="宋体" w:hAnsi="宋体"/>
          <w:b/>
          <w:snapToGrid w:val="0"/>
          <w:szCs w:val="21"/>
        </w:rPr>
        <w:t>合同各方签字盖章：</w:t>
      </w:r>
    </w:p>
    <w:p>
      <w:pPr>
        <w:spacing w:line="360" w:lineRule="auto"/>
        <w:rPr>
          <w:rFonts w:ascii="宋体" w:hAnsi="宋体"/>
          <w:snapToGrid w:val="0"/>
          <w:szCs w:val="21"/>
        </w:rPr>
      </w:pPr>
    </w:p>
    <w:p>
      <w:pPr>
        <w:spacing w:line="360" w:lineRule="auto"/>
        <w:rPr>
          <w:rFonts w:ascii="宋体" w:hAnsi="宋体"/>
          <w:snapToGrid w:val="0"/>
          <w:szCs w:val="21"/>
        </w:rPr>
      </w:pPr>
      <w:r>
        <w:rPr>
          <w:rFonts w:hint="eastAsia" w:ascii="宋体" w:hAnsi="宋体"/>
          <w:snapToGrid w:val="0"/>
          <w:szCs w:val="21"/>
        </w:rPr>
        <w:t>甲方（盖章）：                       乙方（盖章）：</w:t>
      </w:r>
    </w:p>
    <w:p>
      <w:pPr>
        <w:spacing w:line="360" w:lineRule="auto"/>
        <w:rPr>
          <w:rFonts w:ascii="宋体" w:hAnsi="宋体"/>
          <w:snapToGrid w:val="0"/>
          <w:szCs w:val="21"/>
        </w:rPr>
      </w:pPr>
    </w:p>
    <w:p>
      <w:pPr>
        <w:spacing w:line="360" w:lineRule="auto"/>
        <w:rPr>
          <w:rFonts w:ascii="宋体" w:hAnsi="宋体"/>
          <w:color w:val="000000"/>
          <w:szCs w:val="21"/>
        </w:rPr>
      </w:pPr>
      <w:r>
        <w:rPr>
          <w:rFonts w:hint="eastAsia" w:ascii="宋体" w:hAnsi="宋体"/>
          <w:color w:val="000000"/>
          <w:szCs w:val="21"/>
        </w:rPr>
        <w:t>法定代表人（负责人）</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hint="eastAsia" w:ascii="宋体" w:hAnsi="宋体"/>
          <w:color w:val="000000"/>
          <w:szCs w:val="21"/>
        </w:rPr>
        <w:t>（负责人）</w:t>
      </w:r>
    </w:p>
    <w:p>
      <w:pPr>
        <w:spacing w:line="360" w:lineRule="auto"/>
        <w:rPr>
          <w:rFonts w:ascii="宋体" w:hAnsi="宋体"/>
          <w:color w:val="000000"/>
          <w:szCs w:val="21"/>
        </w:rPr>
      </w:pPr>
      <w:r>
        <w:rPr>
          <w:rFonts w:hint="eastAsia" w:ascii="宋体" w:hAnsi="宋体"/>
          <w:color w:val="000000"/>
          <w:szCs w:val="21"/>
        </w:rPr>
        <w:t>或委托代理人：</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或</w:t>
      </w:r>
      <w:r>
        <w:rPr>
          <w:rFonts w:hint="eastAsia" w:ascii="宋体" w:hAnsi="宋体"/>
          <w:color w:val="000000"/>
          <w:szCs w:val="21"/>
        </w:rPr>
        <w:t>委托代理人</w:t>
      </w:r>
      <w:r>
        <w:rPr>
          <w:rFonts w:ascii="宋体" w:hAnsi="宋体"/>
          <w:color w:val="000000"/>
          <w:szCs w:val="21"/>
        </w:rPr>
        <w:t>：</w:t>
      </w:r>
    </w:p>
    <w:p>
      <w:pPr>
        <w:spacing w:line="360" w:lineRule="auto"/>
        <w:rPr>
          <w:rFonts w:ascii="宋体" w:hAnsi="宋体"/>
          <w:color w:val="000000"/>
          <w:szCs w:val="21"/>
        </w:rPr>
      </w:pPr>
    </w:p>
    <w:p>
      <w:pPr>
        <w:spacing w:line="360" w:lineRule="auto"/>
        <w:rPr>
          <w:rFonts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widowControl/>
        <w:jc w:val="left"/>
        <w:rPr>
          <w:rFonts w:ascii="宋体" w:hAnsi="宋体"/>
          <w:b/>
          <w:bCs/>
          <w:szCs w:val="21"/>
        </w:rPr>
      </w:pPr>
      <w:r>
        <w:rPr>
          <w:rFonts w:ascii="宋体" w:hAnsi="宋体"/>
          <w:b/>
          <w:bCs/>
          <w:szCs w:val="21"/>
        </w:rPr>
        <w:br w:type="page"/>
      </w:r>
    </w:p>
    <w:p>
      <w:pPr>
        <w:spacing w:line="360" w:lineRule="auto"/>
        <w:outlineLvl w:val="1"/>
        <w:rPr>
          <w:rFonts w:ascii="宋体" w:hAnsi="宋体"/>
          <w:b/>
          <w:bCs/>
          <w:szCs w:val="21"/>
        </w:rPr>
      </w:pPr>
      <w:r>
        <w:rPr>
          <w:rFonts w:hint="eastAsia" w:ascii="宋体" w:hAnsi="宋体"/>
          <w:b/>
          <w:bCs/>
          <w:szCs w:val="21"/>
        </w:rPr>
        <w:t>附件一：《服务项目书》</w:t>
      </w:r>
    </w:p>
    <w:p>
      <w:pPr>
        <w:spacing w:line="360" w:lineRule="auto"/>
        <w:ind w:firstLine="420" w:firstLineChars="200"/>
      </w:pPr>
      <w:r>
        <w:rPr>
          <w:rFonts w:hint="eastAsia"/>
        </w:rPr>
        <w:t>一、项目服务内容：</w:t>
      </w:r>
    </w:p>
    <w:p>
      <w:pPr>
        <w:spacing w:line="360" w:lineRule="auto"/>
        <w:ind w:firstLine="420" w:firstLineChars="200"/>
        <w:rPr>
          <w:rFonts w:ascii="宋体" w:hAnsi="宋体"/>
          <w:b/>
          <w:bCs/>
          <w:szCs w:val="21"/>
        </w:rPr>
      </w:pPr>
      <w:r>
        <w:rPr>
          <w:rFonts w:hint="eastAsia" w:ascii="宋体" w:hAnsi="宋体"/>
          <w:b/>
          <w:bCs/>
          <w:szCs w:val="21"/>
        </w:rPr>
        <w:t>（详见项目具体要求，最终以中选单位响应方案为准。）</w:t>
      </w:r>
    </w:p>
    <w:p>
      <w:pPr>
        <w:spacing w:line="360" w:lineRule="auto"/>
        <w:ind w:firstLine="420" w:firstLineChars="200"/>
        <w:rPr>
          <w:rFonts w:ascii="宋体" w:hAnsi="宋体"/>
          <w:szCs w:val="21"/>
        </w:rPr>
      </w:pPr>
      <w:r>
        <w:rPr>
          <w:rFonts w:hint="eastAsia" w:ascii="宋体" w:hAnsi="宋体"/>
          <w:szCs w:val="21"/>
        </w:rPr>
        <w:t>二、绩效考核表</w:t>
      </w:r>
    </w:p>
    <w:p>
      <w:pPr>
        <w:spacing w:line="360" w:lineRule="auto"/>
        <w:ind w:firstLine="420" w:firstLineChars="200"/>
        <w:rPr>
          <w:szCs w:val="21"/>
        </w:rPr>
      </w:pPr>
      <w:r>
        <w:rPr>
          <w:rFonts w:hint="eastAsia" w:ascii="宋体" w:hAnsi="宋体"/>
          <w:szCs w:val="21"/>
        </w:rPr>
        <w:t>2.1</w:t>
      </w:r>
      <w:r>
        <w:rPr>
          <w:szCs w:val="21"/>
        </w:rPr>
        <w:t>甲方</w:t>
      </w:r>
      <w:r>
        <w:rPr>
          <w:rFonts w:hint="eastAsia"/>
          <w:szCs w:val="21"/>
        </w:rPr>
        <w:t>将每月定时按以下方面对乙方进行服务质量评估，月度考核评分办法如下：</w:t>
      </w:r>
    </w:p>
    <w:tbl>
      <w:tblPr>
        <w:tblStyle w:val="74"/>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851"/>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权重</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7" w:hRule="atLeast"/>
          <w:jc w:val="center"/>
        </w:trPr>
        <w:tc>
          <w:tcPr>
            <w:tcW w:w="1596"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敏感舆情监测和预警</w:t>
            </w:r>
          </w:p>
        </w:tc>
        <w:tc>
          <w:tcPr>
            <w:tcW w:w="85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30%</w:t>
            </w:r>
          </w:p>
        </w:tc>
        <w:tc>
          <w:tcPr>
            <w:tcW w:w="6489"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1.全天候动态监测甲方相关舆情，发现负面敏感报道，5分钟内短信或微信通知甲方联系人，10分钟内发送敏感报道全文、链接、转载、阅读量等情况到甲方联系人邮箱。</w:t>
            </w:r>
          </w:p>
          <w:p>
            <w:pPr>
              <w:rPr>
                <w:rFonts w:ascii="宋体" w:hAnsi="宋体"/>
                <w:szCs w:val="21"/>
              </w:rPr>
            </w:pPr>
            <w:r>
              <w:rPr>
                <w:rFonts w:hint="eastAsia" w:ascii="宋体" w:hAnsi="宋体"/>
                <w:szCs w:val="21"/>
              </w:rPr>
              <w:t>2.发生敏感危机时，30分钟内提供详细舆情监测报告，提出处置策略，并根据舆情处理机制形成各类专项报告进行定期汇报。发生舆情升级时，同步电话、短信、微信等多途径及时汇报。</w:t>
            </w:r>
          </w:p>
          <w:p>
            <w:pPr>
              <w:rPr>
                <w:rFonts w:ascii="宋体" w:hAnsi="宋体"/>
                <w:szCs w:val="21"/>
              </w:rPr>
            </w:pPr>
            <w:r>
              <w:rPr>
                <w:rFonts w:hint="eastAsia" w:ascii="宋体" w:hAnsi="宋体"/>
                <w:szCs w:val="21"/>
              </w:rPr>
              <w:t>上述2点，每出现一点不满足扣10分。</w:t>
            </w:r>
          </w:p>
          <w:p>
            <w:pPr>
              <w:rPr>
                <w:rFonts w:ascii="宋体" w:hAnsi="宋体"/>
                <w:szCs w:val="21"/>
              </w:rPr>
            </w:pPr>
            <w:r>
              <w:rPr>
                <w:rFonts w:ascii="宋体" w:hAnsi="宋体"/>
                <w:szCs w:val="21"/>
              </w:rPr>
              <w:t>3.</w:t>
            </w:r>
            <w:r>
              <w:rPr>
                <w:rFonts w:hint="eastAsia" w:ascii="宋体" w:hAnsi="宋体"/>
                <w:szCs w:val="21"/>
              </w:rPr>
              <w:t>负面舆情必须在媒体电子版原发后2小时内报告给甲方，超过2小时视为迟报，迟报每次扣</w:t>
            </w:r>
            <w:r>
              <w:rPr>
                <w:rFonts w:ascii="宋体" w:hAnsi="宋体"/>
                <w:szCs w:val="21"/>
              </w:rPr>
              <w:t>5分；超过</w:t>
            </w:r>
            <w:r>
              <w:rPr>
                <w:rFonts w:hint="eastAsia" w:ascii="宋体" w:hAnsi="宋体"/>
                <w:szCs w:val="21"/>
              </w:rPr>
              <w:t>4小时未报视为漏报，漏报每次扣10分</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2" w:hRule="atLeast"/>
          <w:jc w:val="center"/>
        </w:trPr>
        <w:tc>
          <w:tcPr>
            <w:tcW w:w="1596" w:type="dxa"/>
            <w:tcBorders>
              <w:top w:val="single" w:color="auto" w:sz="4" w:space="0"/>
              <w:left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常规监测和专项监测</w:t>
            </w:r>
          </w:p>
        </w:tc>
        <w:tc>
          <w:tcPr>
            <w:tcW w:w="851" w:type="dxa"/>
            <w:tcBorders>
              <w:top w:val="single" w:color="auto" w:sz="4" w:space="0"/>
              <w:left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35%</w:t>
            </w:r>
          </w:p>
        </w:tc>
        <w:tc>
          <w:tcPr>
            <w:tcW w:w="6489" w:type="dxa"/>
            <w:tcBorders>
              <w:top w:val="single" w:color="auto" w:sz="4" w:space="0"/>
              <w:left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1.每日10:00前按甲方要求格式提供舆情监测日报和简析。</w:t>
            </w:r>
          </w:p>
          <w:p>
            <w:pPr>
              <w:jc w:val="left"/>
              <w:rPr>
                <w:rFonts w:ascii="宋体" w:hAnsi="宋体"/>
                <w:szCs w:val="21"/>
              </w:rPr>
            </w:pPr>
            <w:r>
              <w:rPr>
                <w:rFonts w:hint="eastAsia" w:ascii="宋体" w:hAnsi="宋体"/>
                <w:szCs w:val="21"/>
              </w:rPr>
              <w:t>2.每月结束后5个工作日内，提交上个月甲方在全国媒体的新闻电子剪报PPT汇总和Excel表。</w:t>
            </w:r>
          </w:p>
          <w:p>
            <w:pPr>
              <w:jc w:val="left"/>
              <w:rPr>
                <w:rFonts w:ascii="宋体" w:hAnsi="宋体"/>
                <w:szCs w:val="21"/>
              </w:rPr>
            </w:pPr>
            <w:r>
              <w:rPr>
                <w:rFonts w:hint="eastAsia" w:ascii="宋体" w:hAnsi="宋体"/>
                <w:szCs w:val="21"/>
              </w:rPr>
              <w:t>3.每月结束后5个工作日内，提供上个月甲方舆情研判和分析报告。</w:t>
            </w:r>
          </w:p>
          <w:p>
            <w:pPr>
              <w:jc w:val="left"/>
              <w:rPr>
                <w:rFonts w:ascii="宋体" w:hAnsi="宋体"/>
                <w:szCs w:val="21"/>
              </w:rPr>
            </w:pPr>
            <w:r>
              <w:rPr>
                <w:rFonts w:hint="eastAsia" w:ascii="宋体" w:hAnsi="宋体"/>
                <w:szCs w:val="21"/>
              </w:rPr>
              <w:t>4.每周（周五）、每月（最后三个工作日内），提交本周、本月同业舆情、监管动态等舆情分析、研判报告。</w:t>
            </w:r>
          </w:p>
          <w:p>
            <w:pPr>
              <w:ind w:left="420" w:hanging="420" w:hangingChars="200"/>
              <w:jc w:val="left"/>
              <w:rPr>
                <w:rFonts w:ascii="宋体" w:hAnsi="宋体"/>
                <w:szCs w:val="21"/>
              </w:rPr>
            </w:pPr>
            <w:r>
              <w:rPr>
                <w:rFonts w:hint="eastAsia" w:ascii="宋体" w:hAnsi="宋体"/>
                <w:szCs w:val="21"/>
              </w:rPr>
              <w:t>5.每半年度提交新闻策划工作表（银监会规定模板）。</w:t>
            </w:r>
          </w:p>
          <w:p>
            <w:pPr>
              <w:jc w:val="left"/>
              <w:rPr>
                <w:rFonts w:ascii="宋体" w:hAnsi="宋体"/>
                <w:szCs w:val="21"/>
              </w:rPr>
            </w:pPr>
            <w:r>
              <w:rPr>
                <w:rFonts w:hint="eastAsia" w:ascii="宋体" w:hAnsi="宋体"/>
                <w:szCs w:val="21"/>
              </w:rPr>
              <w:t>6.专题传播项目在项目结束后5个工作日内提交媒体发稿监测统计及电子剪报汇总。</w:t>
            </w:r>
          </w:p>
          <w:p>
            <w:pPr>
              <w:ind w:left="420" w:hanging="420" w:hangingChars="200"/>
              <w:jc w:val="left"/>
              <w:rPr>
                <w:rFonts w:ascii="宋体" w:hAnsi="宋体"/>
                <w:szCs w:val="21"/>
              </w:rPr>
            </w:pPr>
            <w:r>
              <w:rPr>
                <w:rFonts w:hint="eastAsia" w:ascii="宋体" w:hAnsi="宋体"/>
                <w:szCs w:val="21"/>
              </w:rPr>
              <w:t>7.及时响应甲方其它监测需求。</w:t>
            </w:r>
          </w:p>
          <w:p>
            <w:pPr>
              <w:ind w:left="420" w:hanging="420" w:hangingChars="200"/>
              <w:jc w:val="left"/>
              <w:rPr>
                <w:rFonts w:ascii="宋体" w:hAnsi="宋体"/>
                <w:szCs w:val="21"/>
              </w:rPr>
            </w:pPr>
            <w:r>
              <w:rPr>
                <w:rFonts w:hint="eastAsia" w:ascii="宋体" w:hAnsi="宋体"/>
                <w:szCs w:val="21"/>
              </w:rPr>
              <w:t>上述7点，每出现一点不满足扣5分。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2"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甲方自媒体监测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ascii="宋体" w:hAnsi="宋体"/>
                <w:szCs w:val="21"/>
              </w:rPr>
              <w:t>15%</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监测甲方总分行各级机构设立的自媒体账号（备注：包括如总分行的微信公众号、微博等发布文章的相关统计数据，如阅读量、转发量、文章链接列表等），具体要求如下：</w:t>
            </w:r>
          </w:p>
          <w:p>
            <w:pPr>
              <w:jc w:val="left"/>
              <w:rPr>
                <w:rFonts w:ascii="宋体" w:hAnsi="宋体"/>
                <w:szCs w:val="21"/>
              </w:rPr>
            </w:pPr>
            <w:r>
              <w:rPr>
                <w:rFonts w:hint="eastAsia" w:ascii="宋体" w:hAnsi="宋体"/>
                <w:szCs w:val="21"/>
              </w:rPr>
              <w:t>1.总分行自媒体列表范围单个账号文章（视频）发布链接、阅读量、转发量、评论数日常监测。监测要求与标准与本文件《用户需求书》的第三点的内容相同。</w:t>
            </w:r>
          </w:p>
          <w:p>
            <w:pPr>
              <w:jc w:val="left"/>
              <w:rPr>
                <w:rFonts w:ascii="宋体" w:hAnsi="宋体"/>
                <w:szCs w:val="21"/>
              </w:rPr>
            </w:pPr>
            <w:r>
              <w:rPr>
                <w:rFonts w:hint="eastAsia" w:ascii="宋体" w:hAnsi="宋体"/>
                <w:szCs w:val="21"/>
              </w:rPr>
              <w:t>2.每半年提供总分行自媒体列表范围单个账号平均阅读量、转发量、评论数的统计。</w:t>
            </w:r>
          </w:p>
          <w:p>
            <w:r>
              <w:rPr>
                <w:rFonts w:hint="eastAsia" w:ascii="宋体" w:hAnsi="宋体"/>
                <w:szCs w:val="21"/>
              </w:rPr>
              <w:t>3.突发情况下，在30分钟内可在总分行自媒体列表范围内依据关键词锁定原始发布账号及发布链接。</w:t>
            </w:r>
          </w:p>
          <w:p>
            <w:pPr>
              <w:rPr>
                <w:rFonts w:ascii="宋体" w:hAnsi="宋体"/>
                <w:szCs w:val="21"/>
              </w:rPr>
            </w:pPr>
            <w:r>
              <w:rPr>
                <w:rFonts w:hint="eastAsia"/>
              </w:rPr>
              <w:t>扣分原则：上述3点，每出现1点不满足扣3分，最低得0分。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8"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其他</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根据日常工作响应速度，处理效率，总体配合程度、工作成效以及其它按具体情况所提出的有效性、建设性服务与建议综合评定乙方的工作表现：</w:t>
            </w:r>
          </w:p>
          <w:p>
            <w:pPr>
              <w:rPr>
                <w:rFonts w:ascii="宋体" w:hAnsi="宋体"/>
                <w:szCs w:val="21"/>
              </w:rPr>
            </w:pPr>
            <w:r>
              <w:rPr>
                <w:rFonts w:hint="eastAsia"/>
              </w:rPr>
              <w:t>优秀得9-10分，良好得6-8分，一般得3-5分，较差得0-2分。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贵宾及私银客户监测服务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10%</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按甲方零售业务条线要求，按时高质完成相关敏感舆情监测服务。每月1日与16日，在当天上午10点前提交当日前两周的监测报告。</w:t>
            </w:r>
          </w:p>
          <w:p>
            <w:pPr>
              <w:rPr>
                <w:rFonts w:ascii="宋体" w:hAnsi="宋体"/>
                <w:szCs w:val="21"/>
              </w:rPr>
            </w:pPr>
            <w:r>
              <w:rPr>
                <w:rFonts w:hint="eastAsia"/>
              </w:rPr>
              <w:t>扣分原则：每迟交一个小时（超过半小时按1个小时计）扣1分，最低得0分。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月度总得分</w:t>
            </w:r>
          </w:p>
        </w:tc>
        <w:tc>
          <w:tcPr>
            <w:tcW w:w="7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总分计算方式为单项实际得分之总和</w:t>
            </w:r>
          </w:p>
        </w:tc>
      </w:tr>
    </w:tbl>
    <w:p>
      <w:pPr>
        <w:spacing w:line="360" w:lineRule="auto"/>
        <w:ind w:firstLine="420" w:firstLineChars="200"/>
        <w:rPr>
          <w:rFonts w:ascii="宋体" w:hAnsi="宋体"/>
          <w:szCs w:val="21"/>
        </w:rPr>
      </w:pPr>
      <w:r>
        <w:rPr>
          <w:rFonts w:hint="eastAsia" w:ascii="宋体" w:hAnsi="宋体"/>
          <w:szCs w:val="21"/>
        </w:rPr>
        <w:t>2.2支付金额计算</w:t>
      </w:r>
    </w:p>
    <w:p>
      <w:pPr>
        <w:spacing w:line="360" w:lineRule="auto"/>
        <w:ind w:firstLine="420" w:firstLineChars="200"/>
        <w:rPr>
          <w:rFonts w:ascii="宋体" w:hAnsi="宋体"/>
          <w:szCs w:val="21"/>
        </w:rPr>
      </w:pPr>
      <w:r>
        <w:rPr>
          <w:rFonts w:hint="eastAsia" w:ascii="宋体" w:hAnsi="宋体"/>
          <w:szCs w:val="21"/>
        </w:rPr>
        <w:t>根据月度评分总得分，依据下表原则计算月费支付金额后，每三个月结算一次：</w:t>
      </w:r>
    </w:p>
    <w:tbl>
      <w:tblPr>
        <w:tblStyle w:val="74"/>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559"/>
        <w:gridCol w:w="5606"/>
      </w:tblGrid>
      <w:tr>
        <w:tblPrEx>
          <w:tblLayout w:type="fixed"/>
        </w:tblPrEx>
        <w:trPr>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得分</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支付额度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85~100分</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支付全额月费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70~84分</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支付80%月费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60~69分</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支付60%月费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center"/>
              <w:rPr>
                <w:rFonts w:ascii="宋体" w:hAnsi="宋体"/>
                <w:szCs w:val="21"/>
              </w:rPr>
            </w:pPr>
            <w:r>
              <w:rPr>
                <w:rFonts w:hint="eastAsia" w:ascii="宋体" w:hAnsi="宋体"/>
                <w:szCs w:val="21"/>
              </w:rPr>
              <w:t>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jc w:val="left"/>
              <w:rPr>
                <w:rFonts w:ascii="宋体" w:hAnsi="宋体"/>
                <w:szCs w:val="21"/>
              </w:rPr>
            </w:pPr>
            <w:r>
              <w:rPr>
                <w:rFonts w:hint="eastAsia" w:ascii="宋体" w:hAnsi="宋体"/>
                <w:szCs w:val="21"/>
              </w:rPr>
              <w:t>低于60分</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ind w:left="420" w:hanging="420" w:hangingChars="200"/>
              <w:rPr>
                <w:rFonts w:ascii="宋体" w:hAnsi="宋体"/>
                <w:szCs w:val="21"/>
              </w:rPr>
            </w:pPr>
            <w:r>
              <w:rPr>
                <w:rFonts w:hint="eastAsia" w:ascii="宋体" w:hAnsi="宋体"/>
                <w:szCs w:val="21"/>
              </w:rPr>
              <w:t>支付50%月费</w:t>
            </w:r>
          </w:p>
        </w:tc>
      </w:tr>
    </w:tbl>
    <w:p>
      <w:pPr>
        <w:spacing w:line="360" w:lineRule="auto"/>
        <w:ind w:firstLine="420" w:firstLineChars="200"/>
        <w:rPr>
          <w:szCs w:val="21"/>
        </w:rPr>
      </w:pPr>
      <w:r>
        <w:rPr>
          <w:rFonts w:hint="eastAsia"/>
          <w:szCs w:val="21"/>
        </w:rPr>
        <w:t>附件：总分行自媒体列表范围（甲方不承诺具体发生数量，下列账号可能依实际情况变动）</w:t>
      </w:r>
    </w:p>
    <w:p>
      <w:pPr>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A 总行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CGB-China</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新浪微博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1627158043286539</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头条号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百家号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594232965</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抖音号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广发银行微讯社</w:t>
      </w:r>
      <w:r>
        <w:rPr>
          <w:rFonts w:hint="eastAsia" w:asciiTheme="minorEastAsia" w:hAnsiTheme="minorEastAsia" w:eastAsiaTheme="minorEastAsia"/>
          <w:szCs w:val="21"/>
        </w:rPr>
        <w:tab/>
      </w:r>
      <w:r>
        <w:rPr>
          <w:rFonts w:hint="eastAsia" w:asciiTheme="minorEastAsia" w:hAnsiTheme="minorEastAsia" w:eastAsiaTheme="minorEastAsia"/>
          <w:szCs w:val="21"/>
        </w:rPr>
        <w:t>cgbnews</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广发银行公司金融</w:t>
      </w:r>
      <w:r>
        <w:rPr>
          <w:rFonts w:hint="eastAsia" w:asciiTheme="minorEastAsia" w:hAnsiTheme="minorEastAsia" w:eastAsiaTheme="minorEastAsia"/>
          <w:szCs w:val="21"/>
        </w:rPr>
        <w:tab/>
      </w:r>
      <w:r>
        <w:rPr>
          <w:rFonts w:hint="eastAsia" w:asciiTheme="minorEastAsia" w:hAnsiTheme="minorEastAsia" w:eastAsiaTheme="minorEastAsia"/>
          <w:szCs w:val="21"/>
        </w:rPr>
        <w:t>gfyhgsjr</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广发信用卡</w:t>
      </w:r>
      <w:r>
        <w:rPr>
          <w:rFonts w:hint="eastAsia" w:asciiTheme="minorEastAsia" w:hAnsiTheme="minorEastAsia" w:eastAsiaTheme="minorEastAsia"/>
          <w:szCs w:val="21"/>
        </w:rPr>
        <w:tab/>
      </w:r>
      <w:r>
        <w:rPr>
          <w:rFonts w:hint="eastAsia" w:asciiTheme="minorEastAsia" w:hAnsiTheme="minorEastAsia" w:eastAsiaTheme="minorEastAsia"/>
          <w:szCs w:val="21"/>
        </w:rPr>
        <w:t>guangfa-card</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广发银行招聘官微</w:t>
      </w:r>
      <w:r>
        <w:rPr>
          <w:rFonts w:hint="eastAsia" w:asciiTheme="minorEastAsia" w:hAnsiTheme="minorEastAsia" w:eastAsiaTheme="minorEastAsia"/>
          <w:szCs w:val="21"/>
        </w:rPr>
        <w:tab/>
      </w:r>
      <w:r>
        <w:rPr>
          <w:rFonts w:hint="eastAsia" w:asciiTheme="minorEastAsia" w:hAnsiTheme="minorEastAsia" w:eastAsiaTheme="minorEastAsia"/>
          <w:szCs w:val="21"/>
        </w:rPr>
        <w:t>cgbzhaopin</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广发直销银行</w:t>
      </w:r>
      <w:r>
        <w:rPr>
          <w:rFonts w:hint="eastAsia" w:asciiTheme="minorEastAsia" w:hAnsiTheme="minorEastAsia" w:eastAsiaTheme="minorEastAsia"/>
          <w:szCs w:val="21"/>
        </w:rPr>
        <w:tab/>
      </w:r>
      <w:r>
        <w:rPr>
          <w:rFonts w:hint="eastAsia" w:asciiTheme="minorEastAsia" w:hAnsiTheme="minorEastAsia" w:eastAsiaTheme="minorEastAsia"/>
          <w:szCs w:val="21"/>
        </w:rPr>
        <w:t>gh_8416bf1b657d</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广发零售业务协同平台</w:t>
      </w:r>
      <w:r>
        <w:rPr>
          <w:rFonts w:hint="eastAsia" w:asciiTheme="minorEastAsia" w:hAnsiTheme="minorEastAsia" w:eastAsiaTheme="minorEastAsia"/>
          <w:szCs w:val="21"/>
        </w:rPr>
        <w:tab/>
      </w:r>
      <w:r>
        <w:rPr>
          <w:rFonts w:hint="eastAsia" w:asciiTheme="minorEastAsia" w:hAnsiTheme="minorEastAsia" w:eastAsiaTheme="minorEastAsia"/>
          <w:szCs w:val="21"/>
        </w:rPr>
        <w:t>CLIC-CGB</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广发财富管理官方微博</w:t>
      </w:r>
      <w:r>
        <w:rPr>
          <w:rFonts w:hint="eastAsia" w:asciiTheme="minorEastAsia" w:hAnsiTheme="minorEastAsia" w:eastAsiaTheme="minorEastAsia"/>
          <w:szCs w:val="21"/>
        </w:rPr>
        <w:tab/>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新浪微博号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青春广发</w:t>
      </w:r>
      <w:r>
        <w:rPr>
          <w:rFonts w:hint="eastAsia" w:asciiTheme="minorEastAsia" w:hAnsiTheme="minorEastAsia" w:eastAsiaTheme="minorEastAsia"/>
          <w:szCs w:val="21"/>
        </w:rPr>
        <w:tab/>
      </w:r>
      <w:r>
        <w:rPr>
          <w:rFonts w:hint="eastAsia" w:asciiTheme="minorEastAsia" w:hAnsiTheme="minorEastAsia" w:eastAsiaTheme="minorEastAsia"/>
          <w:szCs w:val="21"/>
        </w:rPr>
        <w:t>gh_965285d97cd1</w:t>
      </w:r>
      <w:r>
        <w:rPr>
          <w:rFonts w:hint="eastAsia" w:asciiTheme="minorEastAsia" w:hAnsiTheme="minorEastAsia" w:eastAsiaTheme="minorEastAsia"/>
          <w:szCs w:val="21"/>
        </w:rPr>
        <w:tab/>
      </w:r>
      <w:r>
        <w:rPr>
          <w:rFonts w:hint="eastAsia" w:asciiTheme="minorEastAsia" w:hAnsiTheme="minorEastAsia" w:eastAsiaTheme="minorEastAsia"/>
          <w:szCs w:val="21"/>
        </w:rPr>
        <w:t>广发正能量</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广发托管</w:t>
      </w:r>
      <w:r>
        <w:rPr>
          <w:rFonts w:hint="eastAsia" w:asciiTheme="minorEastAsia" w:hAnsiTheme="minorEastAsia" w:eastAsiaTheme="minorEastAsia"/>
          <w:szCs w:val="21"/>
        </w:rPr>
        <w:tab/>
      </w:r>
      <w:r>
        <w:rPr>
          <w:rFonts w:hint="eastAsia" w:asciiTheme="minorEastAsia" w:hAnsiTheme="minorEastAsia" w:eastAsiaTheme="minorEastAsia"/>
          <w:szCs w:val="21"/>
        </w:rPr>
        <w:t>gh_c11bad6e3bb4</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广发运营</w:t>
      </w:r>
      <w:r>
        <w:rPr>
          <w:rFonts w:hint="eastAsia" w:asciiTheme="minorEastAsia" w:hAnsiTheme="minorEastAsia" w:eastAsiaTheme="minorEastAsia"/>
          <w:szCs w:val="21"/>
        </w:rPr>
        <w:tab/>
      </w:r>
      <w:r>
        <w:rPr>
          <w:rFonts w:hint="eastAsia" w:asciiTheme="minorEastAsia" w:hAnsiTheme="minorEastAsia" w:eastAsiaTheme="minorEastAsia"/>
          <w:szCs w:val="21"/>
        </w:rPr>
        <w:t>CGB-OPD</w:t>
      </w:r>
      <w:r>
        <w:rPr>
          <w:rFonts w:hint="eastAsia" w:asciiTheme="minorEastAsia" w:hAnsiTheme="minorEastAsia" w:eastAsiaTheme="minorEastAsia"/>
          <w:szCs w:val="21"/>
        </w:rPr>
        <w:tab/>
      </w:r>
      <w:r>
        <w:rPr>
          <w:rFonts w:hint="eastAsia" w:asciiTheme="minorEastAsia" w:hAnsiTheme="minorEastAsia" w:eastAsiaTheme="minorEastAsia"/>
          <w:szCs w:val="21"/>
        </w:rPr>
        <w:t>个人</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小发精彩</w:t>
      </w:r>
      <w:r>
        <w:rPr>
          <w:rFonts w:hint="eastAsia" w:asciiTheme="minorEastAsia" w:hAnsiTheme="minorEastAsia" w:eastAsiaTheme="minorEastAsia"/>
          <w:szCs w:val="21"/>
        </w:rPr>
        <w:tab/>
      </w:r>
      <w:r>
        <w:rPr>
          <w:rFonts w:hint="eastAsia" w:asciiTheme="minorEastAsia" w:hAnsiTheme="minorEastAsia" w:eastAsiaTheme="minorEastAsia"/>
          <w:szCs w:val="21"/>
        </w:rPr>
        <w:t>GDB-sharing-day</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广发信用卡中心招聘</w:t>
      </w:r>
      <w:r>
        <w:rPr>
          <w:rFonts w:hint="eastAsia" w:asciiTheme="minorEastAsia" w:hAnsiTheme="minorEastAsia" w:eastAsiaTheme="minorEastAsia"/>
          <w:szCs w:val="21"/>
        </w:rPr>
        <w:tab/>
      </w:r>
      <w:r>
        <w:rPr>
          <w:rFonts w:hint="eastAsia" w:asciiTheme="minorEastAsia" w:hAnsiTheme="minorEastAsia" w:eastAsiaTheme="minorEastAsia"/>
          <w:szCs w:val="21"/>
        </w:rPr>
        <w:t>guangfajob</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微信服务号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卡门神曲</w:t>
      </w:r>
      <w:r>
        <w:rPr>
          <w:rFonts w:hint="eastAsia" w:asciiTheme="minorEastAsia" w:hAnsiTheme="minorEastAsia" w:eastAsiaTheme="minorEastAsia"/>
          <w:szCs w:val="21"/>
        </w:rPr>
        <w:tab/>
      </w:r>
      <w:r>
        <w:rPr>
          <w:rFonts w:hint="eastAsia" w:asciiTheme="minorEastAsia" w:hAnsiTheme="minorEastAsia" w:eastAsiaTheme="minorEastAsia"/>
          <w:szCs w:val="21"/>
        </w:rPr>
        <w:t>kmsqcgb</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E秒拔草</w:t>
      </w:r>
      <w:r>
        <w:rPr>
          <w:rFonts w:hint="eastAsia" w:asciiTheme="minorEastAsia" w:hAnsiTheme="minorEastAsia" w:eastAsiaTheme="minorEastAsia"/>
          <w:szCs w:val="21"/>
        </w:rPr>
        <w:tab/>
      </w:r>
      <w:r>
        <w:rPr>
          <w:rFonts w:hint="eastAsia" w:asciiTheme="minorEastAsia" w:hAnsiTheme="minorEastAsia" w:eastAsiaTheme="minorEastAsia"/>
          <w:szCs w:val="21"/>
        </w:rPr>
        <w:t>E-bacao</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广发银行股份有限公司信用卡中心</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CC你我的家</w:t>
      </w:r>
      <w:r>
        <w:rPr>
          <w:rFonts w:hint="eastAsia" w:asciiTheme="minorEastAsia" w:hAnsiTheme="minorEastAsia" w:eastAsiaTheme="minorEastAsia"/>
          <w:szCs w:val="21"/>
        </w:rPr>
        <w:tab/>
      </w:r>
      <w:r>
        <w:rPr>
          <w:rFonts w:hint="eastAsia" w:asciiTheme="minorEastAsia" w:hAnsiTheme="minorEastAsia" w:eastAsiaTheme="minorEastAsia"/>
          <w:szCs w:val="21"/>
        </w:rPr>
        <w:t>ccyy95508</w:t>
      </w:r>
      <w:r>
        <w:rPr>
          <w:rFonts w:hint="eastAsia" w:asciiTheme="minorEastAsia" w:hAnsiTheme="minorEastAsia" w:eastAsiaTheme="minorEastAsia"/>
          <w:szCs w:val="21"/>
        </w:rPr>
        <w:tab/>
      </w:r>
      <w:r>
        <w:rPr>
          <w:rFonts w:hint="eastAsia" w:asciiTheme="minorEastAsia" w:hAnsiTheme="minorEastAsia" w:eastAsiaTheme="minorEastAsia"/>
          <w:szCs w:val="21"/>
        </w:rPr>
        <w:t>个人</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电营渠道“E起来”</w:t>
      </w:r>
      <w:r>
        <w:rPr>
          <w:rFonts w:hint="eastAsia" w:asciiTheme="minorEastAsia" w:hAnsiTheme="minorEastAsia" w:eastAsiaTheme="minorEastAsia"/>
          <w:szCs w:val="21"/>
        </w:rPr>
        <w:tab/>
      </w:r>
      <w:r>
        <w:rPr>
          <w:rFonts w:hint="eastAsia" w:asciiTheme="minorEastAsia" w:hAnsiTheme="minorEastAsia" w:eastAsiaTheme="minorEastAsia"/>
          <w:szCs w:val="21"/>
        </w:rPr>
        <w:t>gh_f932a6bf64bd</w:t>
      </w:r>
      <w:r>
        <w:rPr>
          <w:rFonts w:hint="eastAsia" w:asciiTheme="minorEastAsia" w:hAnsiTheme="minorEastAsia" w:eastAsiaTheme="minorEastAsia"/>
          <w:szCs w:val="21"/>
        </w:rPr>
        <w:tab/>
      </w:r>
      <w:r>
        <w:rPr>
          <w:rFonts w:hint="eastAsia" w:asciiTheme="minorEastAsia" w:hAnsiTheme="minorEastAsia" w:eastAsiaTheme="minorEastAsia"/>
          <w:szCs w:val="21"/>
        </w:rPr>
        <w:t>个人</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广发银行资管</w:t>
      </w:r>
      <w:r>
        <w:rPr>
          <w:rFonts w:hint="eastAsia" w:asciiTheme="minorEastAsia" w:hAnsiTheme="minorEastAsia" w:eastAsiaTheme="minorEastAsia"/>
          <w:szCs w:val="21"/>
        </w:rPr>
        <w:tab/>
      </w:r>
      <w:r>
        <w:rPr>
          <w:rFonts w:hint="eastAsia" w:asciiTheme="minorEastAsia" w:hAnsiTheme="minorEastAsia" w:eastAsiaTheme="minorEastAsia"/>
          <w:szCs w:val="21"/>
        </w:rPr>
        <w:t>guangfayinhanziguan</w:t>
      </w:r>
      <w:r>
        <w:rPr>
          <w:rFonts w:hint="eastAsia" w:asciiTheme="minorEastAsia" w:hAnsiTheme="minorEastAsia" w:eastAsiaTheme="minorEastAsia"/>
          <w:szCs w:val="21"/>
        </w:rPr>
        <w:tab/>
      </w:r>
      <w:r>
        <w:rPr>
          <w:rFonts w:hint="eastAsia" w:asciiTheme="minorEastAsia" w:hAnsiTheme="minorEastAsia" w:eastAsiaTheme="minorEastAsia"/>
          <w:szCs w:val="21"/>
        </w:rPr>
        <w:t>广发银行股份有限公司</w:t>
      </w:r>
      <w:r>
        <w:rPr>
          <w:rFonts w:hint="eastAsia" w:asciiTheme="minorEastAsia" w:hAnsiTheme="minorEastAsia" w:eastAsiaTheme="minorEastAsia"/>
          <w:szCs w:val="21"/>
        </w:rPr>
        <w:tab/>
      </w:r>
      <w:r>
        <w:rPr>
          <w:rFonts w:hint="eastAsia" w:asciiTheme="minorEastAsia" w:hAnsiTheme="minorEastAsia" w:eastAsiaTheme="minorEastAsia"/>
          <w:szCs w:val="21"/>
        </w:rPr>
        <w:t>微信订阅号</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B 分行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广发卡北京</w:t>
      </w:r>
      <w:r>
        <w:rPr>
          <w:rFonts w:hint="eastAsia" w:asciiTheme="minorEastAsia" w:hAnsiTheme="minorEastAsia" w:eastAsiaTheme="minorEastAsia"/>
          <w:szCs w:val="21"/>
        </w:rPr>
        <w:tab/>
      </w:r>
      <w:r>
        <w:rPr>
          <w:rFonts w:hint="eastAsia" w:asciiTheme="minorEastAsia" w:hAnsiTheme="minorEastAsia" w:eastAsiaTheme="minorEastAsia"/>
          <w:szCs w:val="21"/>
        </w:rPr>
        <w:t>gfcard_bj</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广发银行广州分行</w:t>
      </w:r>
      <w:r>
        <w:rPr>
          <w:rFonts w:hint="eastAsia" w:asciiTheme="minorEastAsia" w:hAnsiTheme="minorEastAsia" w:eastAsiaTheme="minorEastAsia"/>
          <w:szCs w:val="21"/>
        </w:rPr>
        <w:tab/>
      </w:r>
      <w:r>
        <w:rPr>
          <w:rFonts w:hint="eastAsia" w:asciiTheme="minorEastAsia" w:hAnsiTheme="minorEastAsia" w:eastAsiaTheme="minorEastAsia"/>
          <w:szCs w:val="21"/>
        </w:rPr>
        <w:t>CGB_GZ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广发卡广州</w:t>
      </w:r>
      <w:r>
        <w:rPr>
          <w:rFonts w:hint="eastAsia" w:asciiTheme="minorEastAsia" w:hAnsiTheme="minorEastAsia" w:eastAsiaTheme="minorEastAsia"/>
          <w:szCs w:val="21"/>
        </w:rPr>
        <w:tab/>
      </w:r>
      <w:r>
        <w:rPr>
          <w:rFonts w:hint="eastAsia" w:asciiTheme="minorEastAsia" w:hAnsiTheme="minorEastAsia" w:eastAsiaTheme="minorEastAsia"/>
          <w:szCs w:val="21"/>
        </w:rPr>
        <w:t>gfk-gz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广发银行广州分行私人银行</w:t>
      </w:r>
      <w:r>
        <w:rPr>
          <w:rFonts w:hint="eastAsia" w:asciiTheme="minorEastAsia" w:hAnsiTheme="minorEastAsia" w:eastAsiaTheme="minorEastAsia"/>
          <w:szCs w:val="21"/>
        </w:rPr>
        <w:tab/>
      </w:r>
      <w:r>
        <w:rPr>
          <w:rFonts w:hint="eastAsia" w:asciiTheme="minorEastAsia" w:hAnsiTheme="minorEastAsia" w:eastAsiaTheme="minorEastAsia"/>
          <w:szCs w:val="21"/>
        </w:rPr>
        <w:t>cgbgzpb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广发信用卡广州</w:t>
      </w:r>
      <w:r>
        <w:rPr>
          <w:rFonts w:hint="eastAsia" w:asciiTheme="minorEastAsia" w:hAnsiTheme="minorEastAsia" w:eastAsiaTheme="minorEastAsia"/>
          <w:szCs w:val="21"/>
        </w:rPr>
        <w:tab/>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广发卡杭州</w:t>
      </w:r>
      <w:r>
        <w:rPr>
          <w:rFonts w:hint="eastAsia" w:asciiTheme="minorEastAsia" w:hAnsiTheme="minorEastAsia" w:eastAsiaTheme="minorEastAsia"/>
          <w:szCs w:val="21"/>
        </w:rPr>
        <w:tab/>
      </w:r>
      <w:r>
        <w:rPr>
          <w:rFonts w:hint="eastAsia" w:asciiTheme="minorEastAsia" w:hAnsiTheme="minorEastAsia" w:eastAsiaTheme="minorEastAsia"/>
          <w:szCs w:val="21"/>
        </w:rPr>
        <w:t>gfc-hz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广发卡杭州</w:t>
      </w:r>
      <w:r>
        <w:rPr>
          <w:rFonts w:hint="eastAsia" w:asciiTheme="minorEastAsia" w:hAnsiTheme="minorEastAsia" w:eastAsiaTheme="minorEastAsia"/>
          <w:szCs w:val="21"/>
        </w:rPr>
        <w:tab/>
      </w:r>
      <w:r>
        <w:rPr>
          <w:rFonts w:hint="eastAsia" w:asciiTheme="minorEastAsia" w:hAnsiTheme="minorEastAsia" w:eastAsiaTheme="minorEastAsia"/>
          <w:szCs w:val="21"/>
        </w:rPr>
        <w:t>1823934517</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广发银行杭州分行</w:t>
      </w:r>
      <w:r>
        <w:rPr>
          <w:rFonts w:hint="eastAsia" w:asciiTheme="minorEastAsia" w:hAnsiTheme="minorEastAsia" w:eastAsiaTheme="minorEastAsia"/>
          <w:szCs w:val="21"/>
        </w:rPr>
        <w:tab/>
      </w:r>
      <w:r>
        <w:rPr>
          <w:rFonts w:hint="eastAsia" w:asciiTheme="minorEastAsia" w:hAnsiTheme="minorEastAsia" w:eastAsiaTheme="minorEastAsia"/>
          <w:szCs w:val="21"/>
        </w:rPr>
        <w:t>gfhz-wljr</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广发银行杭州分行</w:t>
      </w:r>
      <w:r>
        <w:rPr>
          <w:rFonts w:hint="eastAsia" w:asciiTheme="minorEastAsia" w:hAnsiTheme="minorEastAsia" w:eastAsiaTheme="minorEastAsia"/>
          <w:szCs w:val="21"/>
        </w:rPr>
        <w:tab/>
      </w:r>
      <w:r>
        <w:rPr>
          <w:rFonts w:hint="eastAsia" w:asciiTheme="minorEastAsia" w:hAnsiTheme="minorEastAsia" w:eastAsiaTheme="minorEastAsia"/>
          <w:szCs w:val="21"/>
        </w:rPr>
        <w:t>gh_8e99e7abf569</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广发卡温州</w:t>
      </w:r>
      <w:r>
        <w:rPr>
          <w:rFonts w:hint="eastAsia" w:asciiTheme="minorEastAsia" w:hAnsiTheme="minorEastAsia" w:eastAsiaTheme="minorEastAsia"/>
          <w:szCs w:val="21"/>
        </w:rPr>
        <w:tab/>
      </w:r>
      <w:r>
        <w:rPr>
          <w:rFonts w:hint="eastAsia" w:asciiTheme="minorEastAsia" w:hAnsiTheme="minorEastAsia" w:eastAsiaTheme="minorEastAsia"/>
          <w:szCs w:val="21"/>
        </w:rPr>
        <w:t>gf88891162</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广发卡台州</w:t>
      </w:r>
      <w:r>
        <w:rPr>
          <w:rFonts w:hint="eastAsia" w:asciiTheme="minorEastAsia" w:hAnsiTheme="minorEastAsia" w:eastAsiaTheme="minorEastAsia"/>
          <w:szCs w:val="21"/>
        </w:rPr>
        <w:tab/>
      </w:r>
      <w:r>
        <w:rPr>
          <w:rFonts w:hint="eastAsia" w:asciiTheme="minorEastAsia" w:hAnsiTheme="minorEastAsia" w:eastAsiaTheme="minorEastAsia"/>
          <w:szCs w:val="21"/>
        </w:rPr>
        <w:t>gft95508</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广发银行深圳零售金融</w:t>
      </w:r>
      <w:r>
        <w:rPr>
          <w:rFonts w:hint="eastAsia" w:asciiTheme="minorEastAsia" w:hAnsiTheme="minorEastAsia" w:eastAsiaTheme="minorEastAsia"/>
          <w:szCs w:val="21"/>
        </w:rPr>
        <w:tab/>
      </w:r>
      <w:r>
        <w:rPr>
          <w:rFonts w:hint="eastAsia" w:asciiTheme="minorEastAsia" w:hAnsiTheme="minorEastAsia" w:eastAsiaTheme="minorEastAsia"/>
          <w:szCs w:val="21"/>
        </w:rPr>
        <w:t>CGB_SZ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广发卡上海</w:t>
      </w:r>
      <w:r>
        <w:rPr>
          <w:rFonts w:hint="eastAsia" w:asciiTheme="minorEastAsia" w:hAnsiTheme="minorEastAsia" w:eastAsiaTheme="minorEastAsia"/>
          <w:szCs w:val="21"/>
        </w:rPr>
        <w:tab/>
      </w:r>
      <w:r>
        <w:rPr>
          <w:rFonts w:hint="eastAsia" w:asciiTheme="minorEastAsia" w:hAnsiTheme="minorEastAsia" w:eastAsiaTheme="minorEastAsia"/>
          <w:szCs w:val="21"/>
        </w:rPr>
        <w:t>gfc-sh</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广发银行上海私人银行</w:t>
      </w:r>
      <w:r>
        <w:rPr>
          <w:rFonts w:hint="eastAsia" w:asciiTheme="minorEastAsia" w:hAnsiTheme="minorEastAsia" w:eastAsiaTheme="minorEastAsia"/>
          <w:szCs w:val="21"/>
        </w:rPr>
        <w:tab/>
      </w:r>
      <w:r>
        <w:rPr>
          <w:rFonts w:hint="eastAsia" w:asciiTheme="minorEastAsia" w:hAnsiTheme="minorEastAsia" w:eastAsiaTheme="minorEastAsia"/>
          <w:szCs w:val="21"/>
        </w:rPr>
        <w:t>cgbpb_sh</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广发卡南京</w:t>
      </w:r>
      <w:r>
        <w:rPr>
          <w:rFonts w:hint="eastAsia" w:asciiTheme="minorEastAsia" w:hAnsiTheme="minorEastAsia" w:eastAsiaTheme="minorEastAsia"/>
          <w:szCs w:val="21"/>
        </w:rPr>
        <w:tab/>
      </w:r>
      <w:r>
        <w:rPr>
          <w:rFonts w:hint="eastAsia" w:asciiTheme="minorEastAsia" w:hAnsiTheme="minorEastAsia" w:eastAsiaTheme="minorEastAsia"/>
          <w:szCs w:val="21"/>
        </w:rPr>
        <w:t>njgfk666666</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广发卡郑州</w:t>
      </w:r>
      <w:r>
        <w:rPr>
          <w:rFonts w:hint="eastAsia" w:asciiTheme="minorEastAsia" w:hAnsiTheme="minorEastAsia" w:eastAsiaTheme="minorEastAsia"/>
          <w:szCs w:val="21"/>
        </w:rPr>
        <w:tab/>
      </w:r>
      <w:r>
        <w:rPr>
          <w:rFonts w:hint="eastAsia" w:asciiTheme="minorEastAsia" w:hAnsiTheme="minorEastAsia" w:eastAsiaTheme="minorEastAsia"/>
          <w:szCs w:val="21"/>
        </w:rPr>
        <w:t>ZZCGB95508</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湖南广发银行</w:t>
      </w:r>
      <w:r>
        <w:rPr>
          <w:rFonts w:hint="eastAsia" w:asciiTheme="minorEastAsia" w:hAnsiTheme="minorEastAsia" w:eastAsiaTheme="minorEastAsia"/>
          <w:szCs w:val="21"/>
        </w:rPr>
        <w:tab/>
      </w:r>
      <w:r>
        <w:rPr>
          <w:rFonts w:hint="eastAsia" w:asciiTheme="minorEastAsia" w:hAnsiTheme="minorEastAsia" w:eastAsiaTheme="minorEastAsia"/>
          <w:szCs w:val="21"/>
        </w:rPr>
        <w:t>CGB_Hunan</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广发银行湖南发布</w:t>
      </w:r>
      <w:r>
        <w:rPr>
          <w:rFonts w:hint="eastAsia" w:asciiTheme="minorEastAsia" w:hAnsiTheme="minorEastAsia" w:eastAsiaTheme="minorEastAsia"/>
          <w:szCs w:val="21"/>
        </w:rPr>
        <w:tab/>
      </w:r>
      <w:r>
        <w:rPr>
          <w:rFonts w:hint="eastAsia" w:asciiTheme="minorEastAsia" w:hAnsiTheme="minorEastAsia" w:eastAsiaTheme="minorEastAsia"/>
          <w:szCs w:val="21"/>
        </w:rPr>
        <w:t>gh_00cf0699d8fa</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广发银行武汉分行</w:t>
      </w:r>
      <w:r>
        <w:rPr>
          <w:rFonts w:hint="eastAsia" w:asciiTheme="minorEastAsia" w:hAnsiTheme="minorEastAsia" w:eastAsiaTheme="minorEastAsia"/>
          <w:szCs w:val="21"/>
        </w:rPr>
        <w:tab/>
      </w:r>
      <w:r>
        <w:rPr>
          <w:rFonts w:hint="eastAsia" w:asciiTheme="minorEastAsia" w:hAnsiTheme="minorEastAsia" w:eastAsiaTheme="minorEastAsia"/>
          <w:szCs w:val="21"/>
        </w:rPr>
        <w:t>gh_8cc471450c5f</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广发银行沈阳分行零售金融</w:t>
      </w:r>
      <w:r>
        <w:rPr>
          <w:rFonts w:hint="eastAsia" w:asciiTheme="minorEastAsia" w:hAnsiTheme="minorEastAsia" w:eastAsiaTheme="minorEastAsia"/>
          <w:szCs w:val="21"/>
        </w:rPr>
        <w:tab/>
      </w:r>
      <w:r>
        <w:rPr>
          <w:rFonts w:hint="eastAsia" w:asciiTheme="minorEastAsia" w:hAnsiTheme="minorEastAsia" w:eastAsiaTheme="minorEastAsia"/>
          <w:szCs w:val="21"/>
        </w:rPr>
        <w:t>gh_df42436ab9ca</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广发银行沈阳分行</w:t>
      </w:r>
      <w:r>
        <w:rPr>
          <w:rFonts w:hint="eastAsia" w:asciiTheme="minorEastAsia" w:hAnsiTheme="minorEastAsia" w:eastAsiaTheme="minorEastAsia"/>
          <w:szCs w:val="21"/>
        </w:rPr>
        <w:tab/>
      </w:r>
      <w:r>
        <w:rPr>
          <w:rFonts w:hint="eastAsia" w:asciiTheme="minorEastAsia" w:hAnsiTheme="minorEastAsia" w:eastAsiaTheme="minorEastAsia"/>
          <w:szCs w:val="21"/>
        </w:rPr>
        <w:t>shenyangcgb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广发银行昆明</w:t>
      </w:r>
      <w:r>
        <w:rPr>
          <w:rFonts w:hint="eastAsia" w:asciiTheme="minorEastAsia" w:hAnsiTheme="minorEastAsia" w:eastAsiaTheme="minorEastAsia"/>
          <w:szCs w:val="21"/>
        </w:rPr>
        <w:tab/>
      </w:r>
      <w:r>
        <w:rPr>
          <w:rFonts w:hint="eastAsia" w:asciiTheme="minorEastAsia" w:hAnsiTheme="minorEastAsia" w:eastAsiaTheme="minorEastAsia"/>
          <w:szCs w:val="21"/>
        </w:rPr>
        <w:t>CGB-KM</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广发银行济南分行</w:t>
      </w:r>
      <w:r>
        <w:rPr>
          <w:rFonts w:hint="eastAsia" w:asciiTheme="minorEastAsia" w:hAnsiTheme="minorEastAsia" w:eastAsiaTheme="minorEastAsia"/>
          <w:szCs w:val="21"/>
        </w:rPr>
        <w:tab/>
      </w:r>
      <w:r>
        <w:rPr>
          <w:rFonts w:hint="eastAsia" w:asciiTheme="minorEastAsia" w:hAnsiTheme="minorEastAsia" w:eastAsiaTheme="minorEastAsia"/>
          <w:szCs w:val="21"/>
        </w:rPr>
        <w:t>cgb-jn</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广发银行宁波分行</w:t>
      </w:r>
      <w:r>
        <w:rPr>
          <w:rFonts w:hint="eastAsia" w:asciiTheme="minorEastAsia" w:hAnsiTheme="minorEastAsia" w:eastAsiaTheme="minorEastAsia"/>
          <w:szCs w:val="21"/>
        </w:rPr>
        <w:tab/>
      </w:r>
      <w:r>
        <w:rPr>
          <w:rFonts w:hint="eastAsia" w:asciiTheme="minorEastAsia" w:hAnsiTheme="minorEastAsia" w:eastAsiaTheme="minorEastAsia"/>
          <w:szCs w:val="21"/>
        </w:rPr>
        <w:t>gfk-nb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广发银行成都分行</w:t>
      </w:r>
      <w:r>
        <w:rPr>
          <w:rFonts w:hint="eastAsia" w:asciiTheme="minorEastAsia" w:hAnsiTheme="minorEastAsia" w:eastAsiaTheme="minorEastAsia"/>
          <w:szCs w:val="21"/>
        </w:rPr>
        <w:tab/>
      </w:r>
      <w:r>
        <w:rPr>
          <w:rFonts w:hint="eastAsia" w:asciiTheme="minorEastAsia" w:hAnsiTheme="minorEastAsia" w:eastAsiaTheme="minorEastAsia"/>
          <w:szCs w:val="21"/>
        </w:rPr>
        <w:t>CGB_CD</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广发卡成都分行</w:t>
      </w:r>
      <w:r>
        <w:rPr>
          <w:rFonts w:hint="eastAsia" w:asciiTheme="minorEastAsia" w:hAnsiTheme="minorEastAsia" w:eastAsiaTheme="minorEastAsia"/>
          <w:szCs w:val="21"/>
        </w:rPr>
        <w:tab/>
      </w:r>
      <w:r>
        <w:rPr>
          <w:rFonts w:hint="eastAsia" w:asciiTheme="minorEastAsia" w:hAnsiTheme="minorEastAsia" w:eastAsiaTheme="minorEastAsia"/>
          <w:szCs w:val="21"/>
        </w:rPr>
        <w:t>cgbchina_cd</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广发银行合肥分行</w:t>
      </w:r>
      <w:r>
        <w:rPr>
          <w:rFonts w:hint="eastAsia" w:asciiTheme="minorEastAsia" w:hAnsiTheme="minorEastAsia" w:eastAsiaTheme="minorEastAsia"/>
          <w:szCs w:val="21"/>
        </w:rPr>
        <w:tab/>
      </w:r>
      <w:r>
        <w:rPr>
          <w:rFonts w:hint="eastAsia" w:asciiTheme="minorEastAsia" w:hAnsiTheme="minorEastAsia" w:eastAsiaTheme="minorEastAsia"/>
          <w:szCs w:val="21"/>
        </w:rPr>
        <w:t>cgbhf-95508</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广发银行哈尔滨分行</w:t>
      </w:r>
      <w:r>
        <w:rPr>
          <w:rFonts w:hint="eastAsia" w:asciiTheme="minorEastAsia" w:hAnsiTheme="minorEastAsia" w:eastAsiaTheme="minorEastAsia"/>
          <w:szCs w:val="21"/>
        </w:rPr>
        <w:tab/>
      </w:r>
      <w:r>
        <w:rPr>
          <w:rFonts w:hint="eastAsia" w:asciiTheme="minorEastAsia" w:hAnsiTheme="minorEastAsia" w:eastAsiaTheme="minorEastAsia"/>
          <w:szCs w:val="21"/>
        </w:rPr>
        <w:t>CGB123453061</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广发银行西安分行</w:t>
      </w:r>
      <w:r>
        <w:rPr>
          <w:rFonts w:hint="eastAsia" w:asciiTheme="minorEastAsia" w:hAnsiTheme="minorEastAsia" w:eastAsiaTheme="minorEastAsia"/>
          <w:szCs w:val="21"/>
        </w:rPr>
        <w:tab/>
      </w:r>
      <w:r>
        <w:rPr>
          <w:rFonts w:hint="eastAsia" w:asciiTheme="minorEastAsia" w:hAnsiTheme="minorEastAsia" w:eastAsiaTheme="minorEastAsia"/>
          <w:szCs w:val="21"/>
        </w:rPr>
        <w:t>CGB-XA</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广发银行石家庄</w:t>
      </w:r>
      <w:r>
        <w:rPr>
          <w:rFonts w:hint="eastAsia" w:asciiTheme="minorEastAsia" w:hAnsiTheme="minorEastAsia" w:eastAsiaTheme="minorEastAsia"/>
          <w:szCs w:val="21"/>
        </w:rPr>
        <w:tab/>
      </w:r>
      <w:r>
        <w:rPr>
          <w:rFonts w:hint="eastAsia" w:asciiTheme="minorEastAsia" w:hAnsiTheme="minorEastAsia" w:eastAsiaTheme="minorEastAsia"/>
          <w:szCs w:val="21"/>
        </w:rPr>
        <w:t>gd_297c93532f6d</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广发银行大连零售金融</w:t>
      </w:r>
      <w:r>
        <w:rPr>
          <w:rFonts w:hint="eastAsia" w:asciiTheme="minorEastAsia" w:hAnsiTheme="minorEastAsia" w:eastAsiaTheme="minorEastAsia"/>
          <w:szCs w:val="21"/>
        </w:rPr>
        <w:tab/>
      </w:r>
      <w:r>
        <w:rPr>
          <w:rFonts w:hint="eastAsia" w:asciiTheme="minorEastAsia" w:hAnsiTheme="minorEastAsia" w:eastAsiaTheme="minorEastAsia"/>
          <w:szCs w:val="21"/>
        </w:rPr>
        <w:t>gh_49a30151b98e</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广发银行大连分行</w:t>
      </w:r>
      <w:r>
        <w:rPr>
          <w:rFonts w:hint="eastAsia" w:asciiTheme="minorEastAsia" w:hAnsiTheme="minorEastAsia" w:eastAsiaTheme="minorEastAsia"/>
          <w:szCs w:val="21"/>
        </w:rPr>
        <w:tab/>
      </w:r>
      <w:r>
        <w:rPr>
          <w:rFonts w:hint="eastAsia" w:asciiTheme="minorEastAsia" w:hAnsiTheme="minorEastAsia" w:eastAsiaTheme="minorEastAsia"/>
          <w:szCs w:val="21"/>
        </w:rPr>
        <w:t>gh_299c9883714b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广发卡-乌鲁木齐</w:t>
      </w:r>
      <w:r>
        <w:rPr>
          <w:rFonts w:hint="eastAsia" w:asciiTheme="minorEastAsia" w:hAnsiTheme="minorEastAsia" w:eastAsiaTheme="minorEastAsia"/>
          <w:szCs w:val="21"/>
        </w:rPr>
        <w:tab/>
      </w:r>
      <w:r>
        <w:rPr>
          <w:rFonts w:hint="eastAsia" w:asciiTheme="minorEastAsia" w:hAnsiTheme="minorEastAsia" w:eastAsiaTheme="minorEastAsia"/>
          <w:szCs w:val="21"/>
        </w:rPr>
        <w:t>gh_194ee562aad3</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广发银行重庆分行</w:t>
      </w:r>
      <w:r>
        <w:rPr>
          <w:rFonts w:hint="eastAsia" w:asciiTheme="minorEastAsia" w:hAnsiTheme="minorEastAsia" w:eastAsiaTheme="minorEastAsia"/>
          <w:szCs w:val="21"/>
        </w:rPr>
        <w:tab/>
      </w:r>
      <w:r>
        <w:rPr>
          <w:rFonts w:hint="eastAsia" w:asciiTheme="minorEastAsia" w:hAnsiTheme="minorEastAsia" w:eastAsiaTheme="minorEastAsia"/>
          <w:szCs w:val="21"/>
        </w:rPr>
        <w:t>CGB-CQ</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广发银行南昌分行</w:t>
      </w:r>
      <w:r>
        <w:rPr>
          <w:rFonts w:hint="eastAsia" w:asciiTheme="minorEastAsia" w:hAnsiTheme="minorEastAsia" w:eastAsiaTheme="minorEastAsia"/>
          <w:szCs w:val="21"/>
        </w:rPr>
        <w:tab/>
      </w:r>
      <w:r>
        <w:rPr>
          <w:rFonts w:hint="eastAsia" w:asciiTheme="minorEastAsia" w:hAnsiTheme="minorEastAsia" w:eastAsiaTheme="minorEastAsia"/>
          <w:szCs w:val="21"/>
        </w:rPr>
        <w:t>gh_68f71d9127bb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广发卡南昌</w:t>
      </w:r>
      <w:r>
        <w:rPr>
          <w:rFonts w:hint="eastAsia" w:asciiTheme="minorEastAsia" w:hAnsiTheme="minorEastAsia" w:eastAsiaTheme="minorEastAsia"/>
          <w:szCs w:val="21"/>
        </w:rPr>
        <w:tab/>
      </w:r>
      <w:r>
        <w:rPr>
          <w:rFonts w:hint="eastAsia" w:asciiTheme="minorEastAsia" w:hAnsiTheme="minorEastAsia" w:eastAsiaTheme="minorEastAsia"/>
          <w:szCs w:val="21"/>
        </w:rPr>
        <w:t>gh_54bfac84b433</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广发银行南宁分行</w:t>
      </w:r>
      <w:r>
        <w:rPr>
          <w:rFonts w:hint="eastAsia" w:asciiTheme="minorEastAsia" w:hAnsiTheme="minorEastAsia" w:eastAsiaTheme="minorEastAsia"/>
          <w:szCs w:val="21"/>
        </w:rPr>
        <w:tab/>
      </w:r>
      <w:r>
        <w:rPr>
          <w:rFonts w:hint="eastAsia" w:asciiTheme="minorEastAsia" w:hAnsiTheme="minorEastAsia" w:eastAsiaTheme="minorEastAsia"/>
          <w:szCs w:val="21"/>
        </w:rPr>
        <w:t>gh_be3c1e722d27</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广发银行南宁个人金融</w:t>
      </w:r>
      <w:r>
        <w:rPr>
          <w:rFonts w:hint="eastAsia" w:asciiTheme="minorEastAsia" w:hAnsiTheme="minorEastAsia" w:eastAsiaTheme="minorEastAsia"/>
          <w:szCs w:val="21"/>
        </w:rPr>
        <w:tab/>
      </w:r>
      <w:r>
        <w:rPr>
          <w:rFonts w:hint="eastAsia" w:asciiTheme="minorEastAsia" w:hAnsiTheme="minorEastAsia" w:eastAsiaTheme="minorEastAsia"/>
          <w:szCs w:val="21"/>
        </w:rPr>
        <w:t>CGB_Nanning</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广发银行CGB福建</w:t>
      </w:r>
      <w:r>
        <w:rPr>
          <w:rFonts w:hint="eastAsia" w:asciiTheme="minorEastAsia" w:hAnsiTheme="minorEastAsia" w:eastAsiaTheme="minorEastAsia"/>
          <w:szCs w:val="21"/>
        </w:rPr>
        <w:tab/>
      </w:r>
      <w:r>
        <w:rPr>
          <w:rFonts w:hint="eastAsia" w:asciiTheme="minorEastAsia" w:hAnsiTheme="minorEastAsia" w:eastAsiaTheme="minorEastAsia"/>
          <w:szCs w:val="21"/>
        </w:rPr>
        <w:t>gfyhfzfh</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广发银行太原分行</w:t>
      </w:r>
      <w:r>
        <w:rPr>
          <w:rFonts w:hint="eastAsia" w:asciiTheme="minorEastAsia" w:hAnsiTheme="minorEastAsia" w:eastAsiaTheme="minorEastAsia"/>
          <w:szCs w:val="21"/>
        </w:rPr>
        <w:tab/>
      </w:r>
      <w:r>
        <w:rPr>
          <w:rFonts w:hint="eastAsia" w:asciiTheme="minorEastAsia" w:hAnsiTheme="minorEastAsia" w:eastAsiaTheme="minorEastAsia"/>
          <w:szCs w:val="21"/>
        </w:rPr>
        <w:t>gh-de53c9f21553</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广发银行长春分行</w:t>
      </w:r>
      <w:r>
        <w:rPr>
          <w:rFonts w:hint="eastAsia" w:asciiTheme="minorEastAsia" w:hAnsiTheme="minorEastAsia" w:eastAsiaTheme="minorEastAsia"/>
          <w:szCs w:val="21"/>
        </w:rPr>
        <w:tab/>
      </w:r>
      <w:r>
        <w:rPr>
          <w:rFonts w:hint="eastAsia" w:asciiTheme="minorEastAsia" w:hAnsiTheme="minorEastAsia" w:eastAsiaTheme="minorEastAsia"/>
          <w:szCs w:val="21"/>
        </w:rPr>
        <w:t>gh_1f2ea627d379</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广发银行天津</w:t>
      </w:r>
      <w:r>
        <w:rPr>
          <w:rFonts w:hint="eastAsia" w:asciiTheme="minorEastAsia" w:hAnsiTheme="minorEastAsia" w:eastAsiaTheme="minorEastAsia"/>
          <w:szCs w:val="21"/>
        </w:rPr>
        <w:tab/>
      </w:r>
      <w:r>
        <w:rPr>
          <w:rFonts w:hint="eastAsia" w:asciiTheme="minorEastAsia" w:hAnsiTheme="minorEastAsia" w:eastAsiaTheme="minorEastAsia"/>
          <w:szCs w:val="21"/>
        </w:rPr>
        <w:t>cgbcard-tj</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广发银行东莞分行</w:t>
      </w:r>
      <w:r>
        <w:rPr>
          <w:rFonts w:hint="eastAsia" w:asciiTheme="minorEastAsia" w:hAnsiTheme="minorEastAsia" w:eastAsiaTheme="minorEastAsia"/>
          <w:szCs w:val="21"/>
        </w:rPr>
        <w:tab/>
      </w:r>
      <w:r>
        <w:rPr>
          <w:rFonts w:hint="eastAsia" w:asciiTheme="minorEastAsia" w:hAnsiTheme="minorEastAsia" w:eastAsiaTheme="minorEastAsia"/>
          <w:szCs w:val="21"/>
        </w:rPr>
        <w:t>GFKXZS</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广发信用卡东莞</w:t>
      </w:r>
      <w:r>
        <w:rPr>
          <w:rFonts w:hint="eastAsia" w:asciiTheme="minorEastAsia" w:hAnsiTheme="minorEastAsia" w:eastAsiaTheme="minorEastAsia"/>
          <w:szCs w:val="21"/>
        </w:rPr>
        <w:tab/>
      </w:r>
      <w:r>
        <w:rPr>
          <w:rFonts w:hint="eastAsia" w:asciiTheme="minorEastAsia" w:hAnsiTheme="minorEastAsia" w:eastAsiaTheme="minorEastAsia"/>
          <w:szCs w:val="21"/>
        </w:rPr>
        <w:t>CGB-DGXF</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广发银行佛山分行</w:t>
      </w:r>
      <w:r>
        <w:rPr>
          <w:rFonts w:hint="eastAsia" w:asciiTheme="minorEastAsia" w:hAnsiTheme="minorEastAsia" w:eastAsiaTheme="minorEastAsia"/>
          <w:szCs w:val="21"/>
        </w:rPr>
        <w:tab/>
      </w:r>
      <w:r>
        <w:rPr>
          <w:rFonts w:hint="eastAsia" w:asciiTheme="minorEastAsia" w:hAnsiTheme="minorEastAsia" w:eastAsiaTheme="minorEastAsia"/>
          <w:szCs w:val="21"/>
        </w:rPr>
        <w:t>CGBFSFH</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拍说</w:t>
      </w:r>
      <w:r>
        <w:rPr>
          <w:rFonts w:hint="eastAsia" w:asciiTheme="minorEastAsia" w:hAnsiTheme="minorEastAsia" w:eastAsiaTheme="minorEastAsia"/>
          <w:szCs w:val="21"/>
        </w:rPr>
        <w:tab/>
      </w:r>
      <w:r>
        <w:rPr>
          <w:rFonts w:hint="eastAsia" w:asciiTheme="minorEastAsia" w:hAnsiTheme="minorEastAsia" w:eastAsiaTheme="minorEastAsia"/>
          <w:szCs w:val="21"/>
        </w:rPr>
        <w:t>gf_f111282b8821</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广发银行佛山分行零售金融</w:t>
      </w:r>
      <w:r>
        <w:rPr>
          <w:rFonts w:hint="eastAsia" w:asciiTheme="minorEastAsia" w:hAnsiTheme="minorEastAsia" w:eastAsiaTheme="minorEastAsia"/>
          <w:szCs w:val="21"/>
        </w:rPr>
        <w:tab/>
      </w:r>
      <w:r>
        <w:rPr>
          <w:rFonts w:hint="eastAsia" w:asciiTheme="minorEastAsia" w:hAnsiTheme="minorEastAsia" w:eastAsiaTheme="minorEastAsia"/>
          <w:szCs w:val="21"/>
        </w:rPr>
        <w:t>gfk-fs</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广发卡中山</w:t>
      </w:r>
      <w:r>
        <w:rPr>
          <w:rFonts w:hint="eastAsia" w:asciiTheme="minorEastAsia" w:hAnsiTheme="minorEastAsia" w:eastAsiaTheme="minorEastAsia"/>
          <w:szCs w:val="21"/>
        </w:rPr>
        <w:tab/>
      </w:r>
      <w:r>
        <w:rPr>
          <w:rFonts w:hint="eastAsia" w:asciiTheme="minorEastAsia" w:hAnsiTheme="minorEastAsia" w:eastAsiaTheme="minorEastAsia"/>
          <w:szCs w:val="21"/>
        </w:rPr>
        <w:t>gfkzswx</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广发银行中山分行微银行</w:t>
      </w:r>
      <w:r>
        <w:rPr>
          <w:rFonts w:hint="eastAsia" w:asciiTheme="minorEastAsia" w:hAnsiTheme="minorEastAsia" w:eastAsiaTheme="minorEastAsia"/>
          <w:szCs w:val="21"/>
        </w:rPr>
        <w:tab/>
      </w:r>
      <w:r>
        <w:rPr>
          <w:rFonts w:hint="eastAsia" w:asciiTheme="minorEastAsia" w:hAnsiTheme="minorEastAsia" w:eastAsiaTheme="minorEastAsia"/>
          <w:szCs w:val="21"/>
        </w:rPr>
        <w:t>gfyh0760</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广发卡-惠州</w:t>
      </w:r>
      <w:r>
        <w:rPr>
          <w:rFonts w:hint="eastAsia" w:asciiTheme="minorEastAsia" w:hAnsiTheme="minorEastAsia" w:eastAsiaTheme="minorEastAsia"/>
          <w:szCs w:val="21"/>
        </w:rPr>
        <w:tab/>
      </w:r>
      <w:r>
        <w:rPr>
          <w:rFonts w:hint="eastAsia" w:asciiTheme="minorEastAsia" w:hAnsiTheme="minorEastAsia" w:eastAsiaTheme="minorEastAsia"/>
          <w:szCs w:val="21"/>
        </w:rPr>
        <w:t>gfk2119234</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广发银行茂名分行</w:t>
      </w:r>
      <w:r>
        <w:rPr>
          <w:rFonts w:hint="eastAsia" w:asciiTheme="minorEastAsia" w:hAnsiTheme="minorEastAsia" w:eastAsiaTheme="minorEastAsia"/>
          <w:szCs w:val="21"/>
        </w:rPr>
        <w:tab/>
      </w:r>
      <w:r>
        <w:rPr>
          <w:rFonts w:hint="eastAsia" w:asciiTheme="minorEastAsia" w:hAnsiTheme="minorEastAsia" w:eastAsiaTheme="minorEastAsia"/>
          <w:szCs w:val="21"/>
        </w:rPr>
        <w:t>CGB-MM</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广发卡茂名</w:t>
      </w:r>
      <w:r>
        <w:rPr>
          <w:rFonts w:hint="eastAsia" w:asciiTheme="minorEastAsia" w:hAnsiTheme="minorEastAsia" w:eastAsiaTheme="minorEastAsia"/>
          <w:szCs w:val="21"/>
        </w:rPr>
        <w:tab/>
      </w:r>
      <w:r>
        <w:rPr>
          <w:rFonts w:hint="eastAsia" w:asciiTheme="minorEastAsia" w:hAnsiTheme="minorEastAsia" w:eastAsiaTheme="minorEastAsia"/>
          <w:szCs w:val="21"/>
        </w:rPr>
        <w:t>gfk-mm</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广发银行江门分行</w:t>
      </w:r>
      <w:r>
        <w:rPr>
          <w:rFonts w:hint="eastAsia" w:asciiTheme="minorEastAsia" w:hAnsiTheme="minorEastAsia" w:eastAsiaTheme="minorEastAsia"/>
          <w:szCs w:val="21"/>
        </w:rPr>
        <w:tab/>
      </w:r>
      <w:r>
        <w:rPr>
          <w:rFonts w:hint="eastAsia" w:asciiTheme="minorEastAsia" w:hAnsiTheme="minorEastAsia" w:eastAsiaTheme="minorEastAsia"/>
          <w:szCs w:val="21"/>
        </w:rPr>
        <w:t>gfk_jm</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广发卡苏州</w:t>
      </w:r>
      <w:r>
        <w:rPr>
          <w:rFonts w:hint="eastAsia" w:asciiTheme="minorEastAsia" w:hAnsiTheme="minorEastAsia" w:eastAsiaTheme="minorEastAsia"/>
          <w:szCs w:val="21"/>
        </w:rPr>
        <w:tab/>
      </w:r>
      <w:r>
        <w:rPr>
          <w:rFonts w:hint="eastAsia" w:asciiTheme="minorEastAsia" w:hAnsiTheme="minorEastAsia" w:eastAsiaTheme="minorEastAsia"/>
          <w:szCs w:val="21"/>
        </w:rPr>
        <w:t>cgb-sz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广发卡大粤东</w:t>
      </w:r>
      <w:r>
        <w:rPr>
          <w:rFonts w:hint="eastAsia" w:asciiTheme="minorEastAsia" w:hAnsiTheme="minorEastAsia" w:eastAsiaTheme="minorEastAsia"/>
          <w:szCs w:val="21"/>
        </w:rPr>
        <w:tab/>
      </w:r>
      <w:r>
        <w:rPr>
          <w:rFonts w:hint="eastAsia" w:asciiTheme="minorEastAsia" w:hAnsiTheme="minorEastAsia" w:eastAsiaTheme="minorEastAsia"/>
          <w:szCs w:val="21"/>
        </w:rPr>
        <w:t>guangfaka_DYD</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广发卡大潮汕</w:t>
      </w:r>
      <w:r>
        <w:rPr>
          <w:rFonts w:hint="eastAsia" w:asciiTheme="minorEastAsia" w:hAnsiTheme="minorEastAsia" w:eastAsiaTheme="minorEastAsia"/>
          <w:szCs w:val="21"/>
        </w:rPr>
        <w:tab/>
      </w:r>
      <w:r>
        <w:rPr>
          <w:rFonts w:hint="eastAsia" w:asciiTheme="minorEastAsia" w:hAnsiTheme="minorEastAsia" w:eastAsiaTheme="minorEastAsia"/>
          <w:szCs w:val="21"/>
        </w:rPr>
        <w:t>guangfaka_DCS</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广发银行珠海分行</w:t>
      </w:r>
      <w:r>
        <w:rPr>
          <w:rFonts w:hint="eastAsia" w:asciiTheme="minorEastAsia" w:hAnsiTheme="minorEastAsia" w:eastAsiaTheme="minorEastAsia"/>
          <w:szCs w:val="21"/>
        </w:rPr>
        <w:tab/>
      </w:r>
      <w:r>
        <w:rPr>
          <w:rFonts w:hint="eastAsia" w:asciiTheme="minorEastAsia" w:hAnsiTheme="minorEastAsia" w:eastAsiaTheme="minorEastAsia"/>
          <w:szCs w:val="21"/>
        </w:rPr>
        <w:t>cgb-zh</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广发肇庆智慧金融</w:t>
      </w:r>
      <w:r>
        <w:rPr>
          <w:rFonts w:hint="eastAsia" w:asciiTheme="minorEastAsia" w:hAnsiTheme="minorEastAsia" w:eastAsiaTheme="minorEastAsia"/>
          <w:szCs w:val="21"/>
        </w:rPr>
        <w:tab/>
      </w:r>
      <w:r>
        <w:rPr>
          <w:rFonts w:hint="eastAsia" w:asciiTheme="minorEastAsia" w:hAnsiTheme="minorEastAsia" w:eastAsiaTheme="minorEastAsia"/>
          <w:szCs w:val="21"/>
        </w:rPr>
        <w:t>guangfaka-zq</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广发银行肇庆微理财</w:t>
      </w:r>
      <w:r>
        <w:rPr>
          <w:rFonts w:hint="eastAsia" w:asciiTheme="minorEastAsia" w:hAnsiTheme="minorEastAsia" w:eastAsiaTheme="minorEastAsia"/>
          <w:szCs w:val="21"/>
        </w:rPr>
        <w:tab/>
      </w:r>
      <w:r>
        <w:rPr>
          <w:rFonts w:hint="eastAsia" w:asciiTheme="minorEastAsia" w:hAnsiTheme="minorEastAsia" w:eastAsiaTheme="minorEastAsia"/>
          <w:szCs w:val="21"/>
        </w:rPr>
        <w:t>CGB_ZQ</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广发银行梅州分行</w:t>
      </w:r>
      <w:r>
        <w:rPr>
          <w:rFonts w:hint="eastAsia" w:asciiTheme="minorEastAsia" w:hAnsiTheme="minorEastAsia" w:eastAsiaTheme="minorEastAsia"/>
          <w:szCs w:val="21"/>
        </w:rPr>
        <w:tab/>
      </w:r>
      <w:r>
        <w:rPr>
          <w:rFonts w:hint="eastAsia" w:asciiTheme="minorEastAsia" w:hAnsiTheme="minorEastAsia" w:eastAsiaTheme="minorEastAsia"/>
          <w:szCs w:val="21"/>
        </w:rPr>
        <w:t>gfxyk-mz</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广发银行清远分行</w:t>
      </w:r>
      <w:r>
        <w:rPr>
          <w:rFonts w:hint="eastAsia" w:asciiTheme="minorEastAsia" w:hAnsiTheme="minorEastAsia" w:eastAsiaTheme="minorEastAsia"/>
          <w:szCs w:val="21"/>
        </w:rPr>
        <w:tab/>
      </w:r>
      <w:r>
        <w:rPr>
          <w:rFonts w:hint="eastAsia" w:asciiTheme="minorEastAsia" w:hAnsiTheme="minorEastAsia" w:eastAsiaTheme="minorEastAsia"/>
          <w:szCs w:val="21"/>
        </w:rPr>
        <w:t>CGB-QY</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广发卡清远</w:t>
      </w:r>
      <w:r>
        <w:rPr>
          <w:rFonts w:hint="eastAsia" w:asciiTheme="minorEastAsia" w:hAnsiTheme="minorEastAsia" w:eastAsiaTheme="minorEastAsia"/>
          <w:szCs w:val="21"/>
        </w:rPr>
        <w:tab/>
      </w:r>
      <w:r>
        <w:rPr>
          <w:rFonts w:hint="eastAsia" w:asciiTheme="minorEastAsia" w:hAnsiTheme="minorEastAsia" w:eastAsiaTheme="minorEastAsia"/>
          <w:szCs w:val="21"/>
        </w:rPr>
        <w:t>GFK0763</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广发银行河源分行</w:t>
      </w:r>
      <w:r>
        <w:rPr>
          <w:rFonts w:hint="eastAsia" w:asciiTheme="minorEastAsia" w:hAnsiTheme="minorEastAsia" w:eastAsiaTheme="minorEastAsia"/>
          <w:szCs w:val="21"/>
        </w:rPr>
        <w:tab/>
      </w:r>
      <w:r>
        <w:rPr>
          <w:rFonts w:hint="eastAsia" w:asciiTheme="minorEastAsia" w:hAnsiTheme="minorEastAsia" w:eastAsiaTheme="minorEastAsia"/>
          <w:szCs w:val="21"/>
        </w:rPr>
        <w:t>hy-cgb</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广发卡河源</w:t>
      </w:r>
      <w:r>
        <w:rPr>
          <w:rFonts w:hint="eastAsia" w:asciiTheme="minorEastAsia" w:hAnsiTheme="minorEastAsia" w:eastAsiaTheme="minorEastAsia"/>
          <w:szCs w:val="21"/>
        </w:rPr>
        <w:tab/>
      </w:r>
      <w:r>
        <w:rPr>
          <w:rFonts w:hint="eastAsia" w:asciiTheme="minorEastAsia" w:hAnsiTheme="minorEastAsia" w:eastAsiaTheme="minorEastAsia"/>
          <w:szCs w:val="21"/>
        </w:rPr>
        <w:t>gfc-heyuan</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广发卡湛江</w:t>
      </w:r>
      <w:r>
        <w:rPr>
          <w:rFonts w:hint="eastAsia" w:asciiTheme="minorEastAsia" w:hAnsiTheme="minorEastAsia" w:eastAsiaTheme="minorEastAsia"/>
          <w:szCs w:val="21"/>
        </w:rPr>
        <w:tab/>
      </w:r>
      <w:r>
        <w:rPr>
          <w:rFonts w:hint="eastAsia" w:asciiTheme="minorEastAsia" w:hAnsiTheme="minorEastAsia" w:eastAsiaTheme="minorEastAsia"/>
          <w:szCs w:val="21"/>
        </w:rPr>
        <w:t>gh_92874afd4e74</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广发银行湛江分行</w:t>
      </w:r>
      <w:r>
        <w:rPr>
          <w:rFonts w:hint="eastAsia" w:asciiTheme="minorEastAsia" w:hAnsiTheme="minorEastAsia" w:eastAsiaTheme="minorEastAsia"/>
          <w:szCs w:val="21"/>
        </w:rPr>
        <w:tab/>
      </w:r>
      <w:r>
        <w:rPr>
          <w:rFonts w:hint="eastAsia" w:asciiTheme="minorEastAsia" w:hAnsiTheme="minorEastAsia" w:eastAsiaTheme="minorEastAsia"/>
          <w:szCs w:val="21"/>
        </w:rPr>
        <w:t>CGB_zhanjiang</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广发信用卡阳江</w:t>
      </w:r>
      <w:r>
        <w:rPr>
          <w:rFonts w:hint="eastAsia" w:asciiTheme="minorEastAsia" w:hAnsiTheme="minorEastAsia" w:eastAsiaTheme="minorEastAsia"/>
          <w:szCs w:val="21"/>
        </w:rPr>
        <w:tab/>
      </w:r>
      <w:r>
        <w:rPr>
          <w:rFonts w:hint="eastAsia" w:asciiTheme="minorEastAsia" w:hAnsiTheme="minorEastAsia" w:eastAsiaTheme="minorEastAsia"/>
          <w:szCs w:val="21"/>
        </w:rPr>
        <w:t>CGB_YJ_XYK</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广发阳江分行</w:t>
      </w:r>
      <w:r>
        <w:rPr>
          <w:rFonts w:hint="eastAsia" w:asciiTheme="minorEastAsia" w:hAnsiTheme="minorEastAsia" w:eastAsiaTheme="minorEastAsia"/>
          <w:szCs w:val="21"/>
        </w:rPr>
        <w:tab/>
      </w:r>
      <w:r>
        <w:rPr>
          <w:rFonts w:hint="eastAsia" w:asciiTheme="minorEastAsia" w:hAnsiTheme="minorEastAsia" w:eastAsiaTheme="minorEastAsia"/>
          <w:szCs w:val="21"/>
        </w:rPr>
        <w:t>CGB_YJ</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广发卡韶关</w:t>
      </w:r>
      <w:r>
        <w:rPr>
          <w:rFonts w:hint="eastAsia" w:asciiTheme="minorEastAsia" w:hAnsiTheme="minorEastAsia" w:eastAsiaTheme="minorEastAsia"/>
          <w:szCs w:val="21"/>
        </w:rPr>
        <w:tab/>
      </w:r>
      <w:r>
        <w:rPr>
          <w:rFonts w:hint="eastAsia" w:asciiTheme="minorEastAsia" w:hAnsiTheme="minorEastAsia" w:eastAsiaTheme="minorEastAsia"/>
          <w:szCs w:val="21"/>
        </w:rPr>
        <w:t>gfk-sg</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广发银行韶关分行</w:t>
      </w:r>
      <w:r>
        <w:rPr>
          <w:rFonts w:hint="eastAsia" w:asciiTheme="minorEastAsia" w:hAnsiTheme="minorEastAsia" w:eastAsiaTheme="minorEastAsia"/>
          <w:szCs w:val="21"/>
        </w:rPr>
        <w:tab/>
      </w:r>
      <w:r>
        <w:rPr>
          <w:rFonts w:hint="eastAsia" w:asciiTheme="minorEastAsia" w:hAnsiTheme="minorEastAsia" w:eastAsiaTheme="minorEastAsia"/>
          <w:szCs w:val="21"/>
        </w:rPr>
        <w:t>CGB-SG</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廣發銀行澳門分行</w:t>
      </w:r>
      <w:r>
        <w:rPr>
          <w:rFonts w:hint="eastAsia" w:asciiTheme="minorEastAsia" w:hAnsiTheme="minorEastAsia" w:eastAsiaTheme="minorEastAsia"/>
          <w:szCs w:val="21"/>
        </w:rPr>
        <w:tab/>
      </w:r>
      <w:r>
        <w:rPr>
          <w:rFonts w:hint="eastAsia" w:asciiTheme="minorEastAsia" w:hAnsiTheme="minorEastAsia" w:eastAsiaTheme="minorEastAsia"/>
          <w:szCs w:val="21"/>
        </w:rPr>
        <w:t>CGB_Macau</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spacing w:line="360" w:lineRule="auto"/>
        <w:outlineLvl w:val="1"/>
        <w:rPr>
          <w:rFonts w:ascii="宋体" w:hAnsi="宋体"/>
          <w:b/>
          <w:bCs/>
          <w:szCs w:val="21"/>
        </w:rPr>
      </w:pPr>
      <w:r>
        <w:rPr>
          <w:rFonts w:hint="eastAsia" w:ascii="宋体" w:hAnsi="宋体"/>
          <w:b/>
          <w:bCs/>
          <w:szCs w:val="21"/>
        </w:rPr>
        <w:t>附件二：付款约定书</w:t>
      </w:r>
    </w:p>
    <w:p>
      <w:pPr>
        <w:spacing w:line="360" w:lineRule="auto"/>
        <w:ind w:firstLine="420" w:firstLineChars="200"/>
        <w:rPr>
          <w:rFonts w:ascii="宋体" w:hAnsi="宋体" w:cs="Arial"/>
          <w:b/>
          <w:szCs w:val="21"/>
        </w:rPr>
      </w:pPr>
      <w:r>
        <w:rPr>
          <w:rFonts w:hint="eastAsia" w:ascii="宋体" w:hAnsi="宋体" w:cs="Arial"/>
          <w:b/>
          <w:szCs w:val="21"/>
        </w:rPr>
        <w:t>一、服务收费标准</w:t>
      </w:r>
    </w:p>
    <w:p>
      <w:pPr>
        <w:spacing w:line="360" w:lineRule="auto"/>
        <w:ind w:firstLine="420" w:firstLineChars="200"/>
        <w:rPr>
          <w:rFonts w:ascii="宋体" w:hAnsi="宋体"/>
          <w:szCs w:val="21"/>
        </w:rPr>
      </w:pPr>
      <w:r>
        <w:rPr>
          <w:rFonts w:hint="eastAsia" w:ascii="宋体" w:hAnsi="宋体"/>
          <w:szCs w:val="21"/>
        </w:rPr>
        <w:t>服务报价：报价表的格式、内容、以及附注说明，与本项目的集中采购文件报价表一致。</w:t>
      </w:r>
    </w:p>
    <w:p>
      <w:pPr>
        <w:spacing w:line="360" w:lineRule="auto"/>
        <w:ind w:firstLine="420" w:firstLineChars="200"/>
        <w:rPr>
          <w:rFonts w:ascii="宋体" w:hAnsi="宋体" w:cs="Arial"/>
          <w:szCs w:val="21"/>
        </w:rPr>
      </w:pPr>
    </w:p>
    <w:p>
      <w:pPr>
        <w:spacing w:line="360" w:lineRule="auto"/>
        <w:ind w:firstLine="420" w:firstLineChars="200"/>
        <w:rPr>
          <w:rFonts w:ascii="宋体" w:hAnsi="宋体" w:cs="Arial"/>
          <w:b/>
          <w:szCs w:val="21"/>
        </w:rPr>
      </w:pPr>
      <w:r>
        <w:rPr>
          <w:rFonts w:hint="eastAsia" w:ascii="宋体" w:hAnsi="宋体" w:cs="Arial"/>
          <w:b/>
          <w:szCs w:val="21"/>
        </w:rPr>
        <w:t>二、结算方式</w:t>
      </w:r>
    </w:p>
    <w:p>
      <w:pPr>
        <w:spacing w:line="360" w:lineRule="auto"/>
        <w:ind w:firstLine="420" w:firstLineChars="200"/>
        <w:rPr>
          <w:rFonts w:ascii="宋体" w:hAnsi="宋体" w:cs="Arial"/>
          <w:kern w:val="0"/>
          <w:szCs w:val="21"/>
        </w:rPr>
      </w:pPr>
      <w:r>
        <w:rPr>
          <w:rFonts w:hint="eastAsia" w:ascii="宋体" w:hAnsi="宋体" w:cs="Arial"/>
          <w:szCs w:val="21"/>
        </w:rPr>
        <w:t>2.1</w:t>
      </w:r>
      <w:r>
        <w:rPr>
          <w:rFonts w:hint="eastAsia" w:ascii="宋体" w:hAnsi="宋体" w:cs="Arial"/>
          <w:kern w:val="0"/>
          <w:szCs w:val="21"/>
        </w:rPr>
        <w:t>每三个月结算一次费用</w:t>
      </w:r>
    </w:p>
    <w:p>
      <w:pPr>
        <w:spacing w:line="360" w:lineRule="auto"/>
        <w:ind w:firstLine="420" w:firstLineChars="200"/>
        <w:rPr>
          <w:rFonts w:ascii="宋体" w:hAnsi="宋体" w:cs="Arial"/>
          <w:kern w:val="0"/>
          <w:szCs w:val="21"/>
        </w:rPr>
      </w:pPr>
      <w:r>
        <w:rPr>
          <w:rFonts w:hint="eastAsia" w:ascii="宋体" w:hAnsi="宋体" w:cs="Arial"/>
          <w:kern w:val="0"/>
          <w:szCs w:val="21"/>
        </w:rPr>
        <w:t>为促进双方开展良好合作，合作期间甲方对乙方提供的服务进行月度考评，并将按照附件一约定的考核奖惩机制进行付款。乙方承诺提供高品质的舆情监测服务。</w:t>
      </w:r>
    </w:p>
    <w:p>
      <w:pPr>
        <w:spacing w:line="360" w:lineRule="auto"/>
        <w:ind w:firstLine="420" w:firstLineChars="200"/>
        <w:rPr>
          <w:rFonts w:ascii="宋体" w:hAnsi="宋体" w:cs="Arial"/>
          <w:kern w:val="0"/>
          <w:szCs w:val="21"/>
        </w:rPr>
      </w:pPr>
      <w:r>
        <w:rPr>
          <w:rFonts w:hint="eastAsia" w:ascii="宋体" w:hAnsi="宋体" w:cs="Arial"/>
          <w:kern w:val="0"/>
          <w:szCs w:val="21"/>
        </w:rPr>
        <w:t>每月结束后5个工作日内，甲方就乙方季度服务进行综合评估。连续两个月度评估未达广发银行设定的标准要求，乙方应向广发银行提交限期改进方案，如服务未改善，广发银行有权单方面提出解除合约。</w:t>
      </w:r>
    </w:p>
    <w:p>
      <w:pPr>
        <w:spacing w:line="360" w:lineRule="auto"/>
        <w:ind w:firstLine="420" w:firstLineChars="200"/>
        <w:rPr>
          <w:rFonts w:ascii="宋体" w:hAnsi="宋体" w:cs="Arial"/>
          <w:kern w:val="0"/>
          <w:szCs w:val="21"/>
        </w:rPr>
      </w:pPr>
      <w:r>
        <w:rPr>
          <w:rFonts w:hint="eastAsia" w:ascii="宋体" w:hAnsi="宋体" w:cs="Arial"/>
          <w:szCs w:val="21"/>
        </w:rPr>
        <w:t>每次付款前，乙方向甲方开具发票。甲方在收到发票后30日内向乙方支付相应合同款。</w:t>
      </w:r>
    </w:p>
    <w:p>
      <w:pPr>
        <w:spacing w:line="360" w:lineRule="auto"/>
        <w:ind w:firstLine="420" w:firstLineChars="200"/>
        <w:rPr>
          <w:rFonts w:ascii="宋体" w:hAnsi="宋体" w:cs="Arial"/>
          <w:szCs w:val="21"/>
        </w:rPr>
      </w:pPr>
      <w:r>
        <w:rPr>
          <w:rFonts w:hint="eastAsia" w:ascii="宋体" w:hAnsi="宋体" w:cs="Arial"/>
          <w:szCs w:val="21"/>
        </w:rPr>
        <w:t>2.2乙方指定付款账户</w:t>
      </w:r>
    </w:p>
    <w:p>
      <w:pPr>
        <w:spacing w:line="360" w:lineRule="auto"/>
        <w:ind w:firstLine="420" w:firstLineChars="200"/>
        <w:rPr>
          <w:rFonts w:ascii="宋体" w:hAnsi="宋体" w:cs="Arial"/>
          <w:szCs w:val="21"/>
        </w:rPr>
      </w:pPr>
      <w:r>
        <w:rPr>
          <w:rFonts w:hint="eastAsia" w:ascii="宋体" w:hAnsi="宋体" w:cs="Arial"/>
          <w:szCs w:val="21"/>
        </w:rPr>
        <w:t>甲方根据乙方提供的指定汇款账户作为支付账户。</w:t>
      </w:r>
    </w:p>
    <w:p>
      <w:pPr>
        <w:spacing w:line="360" w:lineRule="auto"/>
        <w:ind w:firstLine="420" w:firstLineChars="200"/>
        <w:rPr>
          <w:rFonts w:ascii="宋体" w:hAnsi="宋体" w:cs="Arial"/>
          <w:szCs w:val="21"/>
          <w:u w:val="single"/>
        </w:rPr>
      </w:pPr>
      <w:r>
        <w:rPr>
          <w:rFonts w:hint="eastAsia" w:ascii="宋体" w:hAnsi="宋体" w:cs="Arial"/>
          <w:szCs w:val="21"/>
        </w:rPr>
        <w:t>乙方银行账户名称：</w:t>
      </w:r>
      <w:r>
        <w:rPr>
          <w:rFonts w:hint="eastAsia" w:ascii="宋体" w:hAnsi="宋体" w:cs="Arial"/>
          <w:szCs w:val="21"/>
          <w:u w:val="single"/>
        </w:rPr>
        <w:t xml:space="preserve">                                      </w:t>
      </w:r>
    </w:p>
    <w:p>
      <w:pPr>
        <w:spacing w:line="360" w:lineRule="auto"/>
        <w:ind w:firstLine="420" w:firstLineChars="200"/>
        <w:rPr>
          <w:rFonts w:ascii="宋体" w:hAnsi="宋体" w:cs="Arial"/>
          <w:szCs w:val="21"/>
          <w:u w:val="single"/>
        </w:rPr>
      </w:pPr>
      <w:r>
        <w:rPr>
          <w:rFonts w:hint="eastAsia" w:ascii="宋体" w:hAnsi="宋体" w:cs="Arial"/>
          <w:szCs w:val="21"/>
        </w:rPr>
        <w:t>开户行：</w:t>
      </w:r>
      <w:r>
        <w:rPr>
          <w:rFonts w:hint="eastAsia" w:ascii="宋体" w:hAnsi="宋体" w:cs="Arial"/>
          <w:szCs w:val="21"/>
          <w:u w:val="single"/>
        </w:rPr>
        <w:t xml:space="preserve">  </w:t>
      </w:r>
      <w:r>
        <w:rPr>
          <w:rFonts w:hint="eastAsia" w:ascii="宋体" w:hAnsi="宋体"/>
          <w:sz w:val="24"/>
          <w:u w:val="single"/>
        </w:rPr>
        <w:t xml:space="preserve">                                     </w:t>
      </w:r>
      <w:r>
        <w:rPr>
          <w:rFonts w:hint="eastAsia" w:ascii="宋体" w:hAnsi="宋体" w:cs="Arial"/>
          <w:szCs w:val="21"/>
          <w:u w:val="single"/>
        </w:rPr>
        <w:t xml:space="preserve">    </w:t>
      </w:r>
    </w:p>
    <w:p>
      <w:pPr>
        <w:spacing w:line="360" w:lineRule="auto"/>
        <w:ind w:firstLine="420" w:firstLineChars="200"/>
        <w:rPr>
          <w:rFonts w:ascii="宋体" w:hAnsi="宋体" w:cs="Arial"/>
          <w:szCs w:val="21"/>
          <w:u w:val="single"/>
        </w:rPr>
      </w:pPr>
      <w:r>
        <w:rPr>
          <w:rFonts w:hint="eastAsia" w:ascii="宋体" w:hAnsi="宋体" w:cs="Arial"/>
          <w:szCs w:val="21"/>
        </w:rPr>
        <w:t>账号：</w:t>
      </w:r>
      <w:r>
        <w:rPr>
          <w:rFonts w:hint="eastAsia" w:ascii="宋体" w:hAnsi="宋体" w:cs="Arial"/>
          <w:szCs w:val="21"/>
          <w:u w:val="single"/>
        </w:rPr>
        <w:t xml:space="preserve"> </w:t>
      </w:r>
      <w:r>
        <w:rPr>
          <w:rFonts w:hint="eastAsia" w:ascii="宋体" w:hAnsi="宋体"/>
          <w:sz w:val="24"/>
          <w:u w:val="single"/>
        </w:rPr>
        <w:t xml:space="preserve">                                        </w:t>
      </w:r>
      <w:r>
        <w:rPr>
          <w:rFonts w:hint="eastAsia" w:ascii="宋体" w:hAnsi="宋体" w:cs="Arial"/>
          <w:szCs w:val="21"/>
          <w:u w:val="single"/>
        </w:rPr>
        <w:t xml:space="preserve">    </w:t>
      </w:r>
    </w:p>
    <w:p>
      <w:pPr>
        <w:widowControl/>
        <w:jc w:val="left"/>
        <w:rPr>
          <w:rFonts w:ascii="宋体" w:hAnsi="宋体"/>
          <w:b/>
          <w:bCs/>
          <w:szCs w:val="21"/>
        </w:rPr>
      </w:pPr>
      <w:r>
        <w:rPr>
          <w:rFonts w:ascii="宋体" w:hAnsi="宋体"/>
          <w:b/>
          <w:bCs/>
          <w:szCs w:val="21"/>
        </w:rPr>
        <w:br w:type="page"/>
      </w:r>
    </w:p>
    <w:p>
      <w:pPr>
        <w:spacing w:line="360" w:lineRule="auto"/>
        <w:outlineLvl w:val="1"/>
        <w:rPr>
          <w:rFonts w:ascii="宋体" w:hAnsi="宋体"/>
          <w:b/>
          <w:bCs/>
          <w:szCs w:val="21"/>
        </w:rPr>
      </w:pPr>
      <w:r>
        <w:rPr>
          <w:rFonts w:hint="eastAsia" w:ascii="宋体" w:hAnsi="宋体"/>
          <w:b/>
          <w:bCs/>
          <w:szCs w:val="21"/>
        </w:rPr>
        <w:t>附件三：服务人员基本情况及资质证明文件</w:t>
      </w:r>
    </w:p>
    <w:p>
      <w:pPr>
        <w:tabs>
          <w:tab w:val="left" w:pos="660"/>
        </w:tabs>
        <w:spacing w:line="360" w:lineRule="auto"/>
        <w:rPr>
          <w:rFonts w:ascii="宋体" w:hAnsi="宋体"/>
          <w:b/>
          <w:bCs/>
          <w:szCs w:val="21"/>
        </w:rPr>
      </w:pPr>
      <w:r>
        <w:rPr>
          <w:rFonts w:hint="eastAsia" w:ascii="宋体" w:hAnsi="宋体"/>
          <w:b/>
          <w:bCs/>
          <w:szCs w:val="21"/>
        </w:rPr>
        <w:t>一、服务人员资质及数量要求</w:t>
      </w:r>
    </w:p>
    <w:p>
      <w:pPr>
        <w:tabs>
          <w:tab w:val="left" w:pos="660"/>
        </w:tabs>
        <w:spacing w:line="360" w:lineRule="auto"/>
        <w:ind w:firstLine="420" w:firstLineChars="200"/>
        <w:rPr>
          <w:rFonts w:ascii="宋体" w:hAnsi="宋体"/>
          <w:bCs/>
          <w:szCs w:val="21"/>
        </w:rPr>
      </w:pPr>
      <w:r>
        <w:rPr>
          <w:rFonts w:hint="eastAsia" w:ascii="宋体" w:hAnsi="宋体"/>
          <w:bCs/>
          <w:szCs w:val="21"/>
        </w:rPr>
        <w:t>1.1提供固定、专业的团队为</w:t>
      </w:r>
      <w:r>
        <w:rPr>
          <w:rFonts w:ascii="宋体" w:hAnsi="宋体"/>
          <w:bCs/>
          <w:szCs w:val="21"/>
        </w:rPr>
        <w:t>甲方</w:t>
      </w:r>
      <w:r>
        <w:rPr>
          <w:rFonts w:hint="eastAsia" w:ascii="宋体" w:hAnsi="宋体"/>
          <w:bCs/>
          <w:szCs w:val="21"/>
        </w:rPr>
        <w:t>提供专属服务。合同期间未经允许，不得随意更换团队核心成员。</w:t>
      </w:r>
    </w:p>
    <w:p>
      <w:pPr>
        <w:tabs>
          <w:tab w:val="left" w:pos="660"/>
        </w:tabs>
        <w:spacing w:line="360" w:lineRule="auto"/>
        <w:ind w:firstLine="420" w:firstLineChars="200"/>
        <w:rPr>
          <w:rFonts w:ascii="宋体" w:hAnsi="宋体"/>
          <w:bCs/>
          <w:szCs w:val="21"/>
        </w:rPr>
      </w:pPr>
      <w:r>
        <w:rPr>
          <w:rFonts w:hint="eastAsia" w:ascii="宋体" w:hAnsi="宋体"/>
          <w:bCs/>
          <w:szCs w:val="21"/>
        </w:rPr>
        <w:t>1.2如若中标，承诺提供服务的团队在合作期内不得为竞争对手提供媒体舆情监测服务。</w:t>
      </w:r>
    </w:p>
    <w:p>
      <w:pPr>
        <w:tabs>
          <w:tab w:val="left" w:pos="660"/>
        </w:tabs>
        <w:spacing w:line="360" w:lineRule="auto"/>
        <w:ind w:firstLine="420" w:firstLineChars="200"/>
        <w:rPr>
          <w:rFonts w:ascii="宋体" w:hAnsi="宋体"/>
          <w:bCs/>
          <w:szCs w:val="21"/>
        </w:rPr>
      </w:pPr>
      <w:r>
        <w:rPr>
          <w:rFonts w:hint="eastAsia" w:ascii="宋体" w:hAnsi="宋体"/>
          <w:bCs/>
          <w:szCs w:val="21"/>
        </w:rPr>
        <w:t>1.3服务团队成员要求：</w:t>
      </w:r>
    </w:p>
    <w:tbl>
      <w:tblPr>
        <w:tblStyle w:val="74"/>
        <w:tblW w:w="7953" w:type="dxa"/>
        <w:jc w:val="center"/>
        <w:tblInd w:w="0" w:type="dxa"/>
        <w:tblLayout w:type="fixed"/>
        <w:tblCellMar>
          <w:top w:w="0" w:type="dxa"/>
          <w:left w:w="108" w:type="dxa"/>
          <w:bottom w:w="0" w:type="dxa"/>
          <w:right w:w="108" w:type="dxa"/>
        </w:tblCellMar>
      </w:tblPr>
      <w:tblGrid>
        <w:gridCol w:w="1960"/>
        <w:gridCol w:w="1960"/>
        <w:gridCol w:w="700"/>
        <w:gridCol w:w="1900"/>
        <w:gridCol w:w="1433"/>
      </w:tblGrid>
      <w:tr>
        <w:tblPrEx>
          <w:tblLayout w:type="fixed"/>
        </w:tblPrEx>
        <w:trPr>
          <w:trHeight w:val="615"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团队角色</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人员在供应商任职参考职位/级别</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人数要求</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从业年限与资质要求</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服务本项目时间占比</w:t>
            </w:r>
          </w:p>
        </w:tc>
      </w:tr>
      <w:tr>
        <w:tblPrEx>
          <w:tblLayout w:type="fixed"/>
        </w:tblPrEx>
        <w:trPr>
          <w:trHeight w:val="1890" w:hRule="atLeast"/>
          <w:jc w:val="center"/>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总经理/副总经理</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包括中国区执行总裁、执行总裁等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具备12年或以上舆情监测、公关传播或网络传播数据分析工作经验，有媒体、金融从业经验者优先。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15%或以上</w:t>
            </w:r>
          </w:p>
        </w:tc>
      </w:tr>
      <w:tr>
        <w:tblPrEx>
          <w:tblLayout w:type="fixed"/>
        </w:tblPrEx>
        <w:trPr>
          <w:trHeight w:val="1890" w:hRule="atLeast"/>
          <w:jc w:val="center"/>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总监</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包括副总裁/高级项目总监、项目总监等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具备8年或以上舆情监测、公关传播或网络传播数据分析工作经验，有媒体、金融从业经验者优先。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30%或以上</w:t>
            </w:r>
          </w:p>
        </w:tc>
      </w:tr>
      <w:tr>
        <w:tblPrEx>
          <w:tblLayout w:type="fixed"/>
        </w:tblPrEx>
        <w:trPr>
          <w:trHeight w:val="1890" w:hRule="atLeast"/>
          <w:jc w:val="center"/>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客户经理</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包括高级项目经理、项目经理、高级项目主管等</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具备5年或以上舆情监测、公关传播或网络传播数据分析工作经验，有媒体、金融行业服务经验者优先。</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50%或以上</w:t>
            </w:r>
          </w:p>
        </w:tc>
      </w:tr>
      <w:tr>
        <w:tblPrEx>
          <w:tblLayout w:type="fixed"/>
        </w:tblPrEx>
        <w:trPr>
          <w:trHeight w:val="1080" w:hRule="atLeast"/>
          <w:jc w:val="center"/>
        </w:trPr>
        <w:tc>
          <w:tcPr>
            <w:tcW w:w="1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执行专员、技术人员</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1一2</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具备2年或以上舆情监测、公关传播或网络传播数据分析工作经。</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50%或以上</w:t>
            </w:r>
          </w:p>
        </w:tc>
      </w:tr>
      <w:tr>
        <w:tblPrEx>
          <w:tblLayout w:type="fixed"/>
        </w:tblPrEx>
        <w:trPr>
          <w:trHeight w:val="270" w:hRule="atLeast"/>
          <w:jc w:val="center"/>
        </w:trPr>
        <w:tc>
          <w:tcPr>
            <w:tcW w:w="79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注：服务本项目时间占比为每日工作时间百分比，截至项目完成。</w:t>
            </w:r>
          </w:p>
        </w:tc>
      </w:tr>
    </w:tbl>
    <w:p>
      <w:pPr>
        <w:tabs>
          <w:tab w:val="left" w:pos="660"/>
        </w:tabs>
        <w:spacing w:line="360" w:lineRule="auto"/>
        <w:rPr>
          <w:rFonts w:ascii="宋体" w:hAnsi="宋体"/>
          <w:b/>
          <w:bCs/>
          <w:szCs w:val="21"/>
        </w:rPr>
      </w:pPr>
    </w:p>
    <w:p>
      <w:pPr>
        <w:tabs>
          <w:tab w:val="left" w:pos="660"/>
        </w:tabs>
        <w:spacing w:line="360" w:lineRule="auto"/>
        <w:rPr>
          <w:rFonts w:ascii="宋体" w:hAnsi="宋体"/>
          <w:b/>
          <w:bCs/>
          <w:szCs w:val="21"/>
        </w:rPr>
      </w:pPr>
      <w:r>
        <w:rPr>
          <w:rFonts w:hint="eastAsia" w:ascii="宋体" w:hAnsi="宋体"/>
          <w:b/>
          <w:bCs/>
          <w:szCs w:val="21"/>
        </w:rPr>
        <w:t>二、服务人员管理要求</w:t>
      </w:r>
    </w:p>
    <w:p>
      <w:pPr>
        <w:tabs>
          <w:tab w:val="left" w:pos="1260"/>
          <w:tab w:val="left" w:pos="1440"/>
          <w:tab w:val="left" w:pos="1620"/>
        </w:tabs>
        <w:spacing w:line="360" w:lineRule="auto"/>
        <w:ind w:firstLine="420" w:firstLineChars="200"/>
        <w:rPr>
          <w:rFonts w:ascii="宋体" w:hAnsi="宋体" w:cs="Arial"/>
          <w:kern w:val="0"/>
          <w:szCs w:val="21"/>
        </w:rPr>
      </w:pPr>
      <w:r>
        <w:rPr>
          <w:rFonts w:hint="eastAsia" w:ascii="宋体" w:hAnsi="宋体" w:cs="Arial"/>
          <w:kern w:val="0"/>
          <w:szCs w:val="21"/>
        </w:rPr>
        <w:t>2.1乙方在项目实施过程中保证团队人员稳定，须保证专职负责甲方项目，不得配合其他项目。</w:t>
      </w:r>
    </w:p>
    <w:p>
      <w:pPr>
        <w:tabs>
          <w:tab w:val="left" w:pos="1260"/>
          <w:tab w:val="left" w:pos="1440"/>
          <w:tab w:val="left" w:pos="1620"/>
        </w:tabs>
        <w:spacing w:line="360" w:lineRule="auto"/>
        <w:ind w:firstLine="420" w:firstLineChars="200"/>
        <w:rPr>
          <w:rFonts w:ascii="宋体" w:hAnsi="宋体" w:cs="Arial"/>
          <w:kern w:val="0"/>
          <w:szCs w:val="21"/>
        </w:rPr>
      </w:pPr>
      <w:r>
        <w:rPr>
          <w:rFonts w:hint="eastAsia" w:ascii="宋体" w:hAnsi="宋体" w:cs="Arial"/>
          <w:kern w:val="0"/>
          <w:szCs w:val="21"/>
        </w:rPr>
        <w:t>2.2乙方需制定严格的项目团队人员工作机制、对项目团队人员有劳动纪律要求。</w:t>
      </w:r>
    </w:p>
    <w:p>
      <w:pPr>
        <w:tabs>
          <w:tab w:val="left" w:pos="1260"/>
          <w:tab w:val="left" w:pos="1440"/>
          <w:tab w:val="left" w:pos="1620"/>
        </w:tabs>
        <w:spacing w:line="360" w:lineRule="auto"/>
        <w:ind w:firstLine="420" w:firstLineChars="200"/>
        <w:rPr>
          <w:rFonts w:ascii="宋体" w:hAnsi="宋体" w:cs="Arial"/>
          <w:kern w:val="0"/>
          <w:szCs w:val="21"/>
        </w:rPr>
      </w:pPr>
      <w:r>
        <w:rPr>
          <w:rFonts w:hint="eastAsia" w:ascii="宋体" w:hAnsi="宋体"/>
          <w:color w:val="000000"/>
          <w:szCs w:val="21"/>
        </w:rPr>
        <w:t>2.3在合同执行期间，如乙方人员、热线电话、指定联系人发生变化，乙方应提前</w:t>
      </w:r>
      <w:r>
        <w:rPr>
          <w:rFonts w:hint="eastAsia" w:ascii="宋体" w:hAnsi="宋体"/>
          <w:color w:val="000000"/>
          <w:szCs w:val="21"/>
          <w:u w:val="single"/>
        </w:rPr>
        <w:t>_30_</w:t>
      </w:r>
      <w:r>
        <w:rPr>
          <w:rFonts w:hint="eastAsia" w:ascii="宋体" w:hAnsi="宋体"/>
          <w:color w:val="000000"/>
          <w:szCs w:val="21"/>
        </w:rPr>
        <w:t>个工作日向甲方提交《项目组人员调整说明》，经甲方确认后方可进行人员调整。乙方人员调出前须补充同等资历的人员，并经甲方资历审核及书面同意。</w:t>
      </w:r>
    </w:p>
    <w:p>
      <w:pPr>
        <w:tabs>
          <w:tab w:val="left" w:pos="660"/>
        </w:tabs>
        <w:spacing w:line="360" w:lineRule="auto"/>
        <w:rPr>
          <w:rFonts w:ascii="宋体" w:hAnsi="宋体"/>
          <w:b/>
          <w:bCs/>
          <w:szCs w:val="21"/>
        </w:rPr>
      </w:pPr>
    </w:p>
    <w:p>
      <w:pPr>
        <w:tabs>
          <w:tab w:val="left" w:pos="660"/>
        </w:tabs>
        <w:spacing w:line="360" w:lineRule="auto"/>
        <w:rPr>
          <w:rFonts w:ascii="宋体" w:hAnsi="宋体"/>
          <w:b/>
          <w:bCs/>
          <w:szCs w:val="21"/>
        </w:rPr>
      </w:pPr>
      <w:r>
        <w:rPr>
          <w:rFonts w:hint="eastAsia" w:ascii="宋体" w:hAnsi="宋体"/>
          <w:b/>
          <w:bCs/>
          <w:szCs w:val="21"/>
        </w:rPr>
        <w:t>三、服务人员清单</w:t>
      </w:r>
    </w:p>
    <w:p>
      <w:pPr>
        <w:spacing w:line="360" w:lineRule="auto"/>
        <w:ind w:firstLine="420" w:firstLineChars="200"/>
        <w:rPr>
          <w:b/>
          <w:szCs w:val="21"/>
        </w:rPr>
      </w:pPr>
      <w:r>
        <w:rPr>
          <w:rFonts w:hint="eastAsia" w:ascii="宋体" w:hAnsi="宋体"/>
          <w:b/>
          <w:bCs/>
          <w:szCs w:val="21"/>
        </w:rPr>
        <w:t>（待中选供应商补充）</w:t>
      </w:r>
    </w:p>
    <w:p>
      <w:pPr>
        <w:widowControl/>
        <w:spacing w:line="360" w:lineRule="auto"/>
        <w:jc w:val="center"/>
        <w:outlineLvl w:val="0"/>
        <w:rPr>
          <w:rFonts w:asciiTheme="minorEastAsia" w:hAnsiTheme="minorEastAsia" w:eastAsiaTheme="minorEastAsia"/>
          <w:b/>
          <w:kern w:val="1"/>
          <w:sz w:val="32"/>
          <w:szCs w:val="32"/>
        </w:rPr>
      </w:pPr>
      <w:bookmarkStart w:id="86" w:name="_合__"/>
      <w:bookmarkEnd w:id="86"/>
      <w:bookmarkStart w:id="87" w:name="_Toc507608755"/>
      <w:bookmarkStart w:id="88" w:name="_Toc296003026"/>
      <w:bookmarkStart w:id="89" w:name="_Toc296006338"/>
      <w:bookmarkStart w:id="90" w:name="_Toc363145533"/>
      <w:bookmarkStart w:id="91" w:name="_Toc420071773"/>
      <w:bookmarkStart w:id="92" w:name="_Toc296006408"/>
      <w:bookmarkStart w:id="93" w:name="_Toc363145071"/>
      <w:bookmarkStart w:id="94" w:name="_Toc363145650"/>
      <w:r>
        <w:rPr>
          <w:rFonts w:hint="eastAsia" w:asciiTheme="minorEastAsia" w:hAnsiTheme="minorEastAsia" w:eastAsiaTheme="minorEastAsia"/>
          <w:b/>
          <w:kern w:val="1"/>
          <w:sz w:val="32"/>
          <w:szCs w:val="32"/>
        </w:rPr>
        <w:t>第五部分 评审办法</w:t>
      </w:r>
      <w:bookmarkEnd w:id="87"/>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95" w:name="_Toc507608756"/>
      <w:r>
        <w:rPr>
          <w:rFonts w:hint="eastAsia" w:asciiTheme="minorEastAsia" w:hAnsiTheme="minorEastAsia" w:eastAsiaTheme="minorEastAsia"/>
          <w:b/>
          <w:kern w:val="1"/>
          <w:szCs w:val="21"/>
        </w:rPr>
        <w:t>一、总则</w:t>
      </w:r>
      <w:bookmarkEnd w:id="95"/>
    </w:p>
    <w:p>
      <w:pPr>
        <w:spacing w:line="360" w:lineRule="auto"/>
        <w:ind w:firstLine="420" w:firstLineChars="200"/>
        <w:rPr>
          <w:rFonts w:ascii="宋体" w:hAnsi="宋体" w:cs="宋体"/>
          <w:kern w:val="1"/>
        </w:rPr>
      </w:pPr>
      <w:r>
        <w:rPr>
          <w:rFonts w:ascii="宋体" w:hAnsi="宋体" w:cs="宋体"/>
          <w:kern w:val="1"/>
        </w:rPr>
        <w:t>1.</w:t>
      </w:r>
      <w:r>
        <w:rPr>
          <w:rFonts w:hint="eastAsia" w:ascii="宋体" w:hAnsi="宋体" w:cs="宋体"/>
          <w:kern w:val="1"/>
        </w:rPr>
        <w:t>项目评审委员会（也称“磋商小组”）</w:t>
      </w:r>
    </w:p>
    <w:p>
      <w:pPr>
        <w:spacing w:line="360" w:lineRule="auto"/>
        <w:ind w:firstLine="420" w:firstLineChars="200"/>
        <w:rPr>
          <w:rFonts w:ascii="Calibri" w:hAnsi="Calibri" w:cs="宋体"/>
          <w:kern w:val="1"/>
        </w:rPr>
      </w:pPr>
      <w:r>
        <w:rPr>
          <w:rFonts w:ascii="宋体" w:hAnsi="宋体" w:cs="宋体"/>
          <w:kern w:val="1"/>
        </w:rPr>
        <w:t>1.1</w:t>
      </w:r>
      <w:r>
        <w:rPr>
          <w:rFonts w:hint="eastAsia" w:ascii="宋体" w:hAnsi="宋体" w:cs="宋体"/>
          <w:kern w:val="1"/>
        </w:rPr>
        <w:t>本次采购的</w:t>
      </w:r>
      <w:r>
        <w:rPr>
          <w:rFonts w:hint="eastAsia" w:ascii="宋体" w:hAnsi="宋体"/>
          <w:color w:val="000000"/>
          <w:kern w:val="1"/>
          <w:szCs w:val="21"/>
        </w:rPr>
        <w:t>评审工作由依法组建的项目评审委员会</w:t>
      </w:r>
      <w:r>
        <w:rPr>
          <w:rFonts w:hint="eastAsia" w:ascii="宋体" w:hAnsi="宋体"/>
          <w:color w:val="000000"/>
          <w:kern w:val="1"/>
          <w:szCs w:val="21"/>
          <w:highlight w:val="yellow"/>
          <w:u w:val="single"/>
        </w:rPr>
        <w:t>5</w:t>
      </w:r>
      <w:r>
        <w:rPr>
          <w:rFonts w:hint="eastAsia" w:ascii="宋体" w:hAnsi="宋体"/>
          <w:color w:val="000000"/>
          <w:kern w:val="1"/>
          <w:szCs w:val="21"/>
        </w:rPr>
        <w:t>人负责完成</w:t>
      </w:r>
      <w:r>
        <w:rPr>
          <w:rFonts w:hint="eastAsia" w:ascii="宋体" w:hAnsi="宋体"/>
          <w:kern w:val="1"/>
        </w:rPr>
        <w:t>，任何人不得干预。</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1.2 </w:t>
      </w:r>
      <w:r>
        <w:rPr>
          <w:rFonts w:hint="eastAsia" w:ascii="宋体" w:hAnsi="宋体" w:cs="宋体"/>
          <w:kern w:val="1"/>
        </w:rPr>
        <w:t>本次采购采用竞争性磋商方式进行，评审由项目评审委员会负责完成。项目评审委员会将只对确定为实质上响应磋商文件要求的响应文件、澄清和最终报价等内容进行评审；实质上没有响应磋商文件要求的响应文件将被视为响应无效。</w:t>
      </w:r>
    </w:p>
    <w:p>
      <w:pPr>
        <w:tabs>
          <w:tab w:val="left" w:pos="8280"/>
        </w:tabs>
        <w:spacing w:line="360" w:lineRule="auto"/>
        <w:ind w:firstLine="420" w:firstLineChars="200"/>
        <w:rPr>
          <w:rFonts w:ascii="宋体" w:hAnsi="宋体" w:cs="宋体"/>
          <w:kern w:val="1"/>
        </w:rPr>
      </w:pPr>
      <w:r>
        <w:rPr>
          <w:rFonts w:hint="eastAsia" w:ascii="宋体" w:hAnsi="宋体" w:cs="宋体"/>
          <w:kern w:val="1"/>
        </w:rPr>
        <w:t>1.3项目评审委员会在磋商及评审过程中出现意见不一致时，遵循少数服从多数原则。对磋商文件中描述有歧义或前后不一致的地方，磋商小组有权按法律法规的规定进行评判，但对同一条款的评判应适用于每个供应商。</w:t>
      </w:r>
    </w:p>
    <w:p>
      <w:pPr>
        <w:tabs>
          <w:tab w:val="left" w:pos="8280"/>
        </w:tabs>
        <w:spacing w:line="360" w:lineRule="auto"/>
        <w:ind w:firstLine="420" w:firstLineChars="200"/>
        <w:rPr>
          <w:rFonts w:ascii="宋体" w:hAnsi="宋体" w:cs="宋体"/>
          <w:kern w:val="1"/>
        </w:rPr>
      </w:pPr>
      <w:r>
        <w:rPr>
          <w:rFonts w:ascii="宋体" w:hAnsi="宋体" w:cs="宋体"/>
          <w:kern w:val="1"/>
        </w:rPr>
        <w:t>1.</w:t>
      </w:r>
      <w:r>
        <w:rPr>
          <w:rFonts w:hint="eastAsia" w:ascii="宋体" w:hAnsi="宋体" w:cs="宋体"/>
          <w:kern w:val="1"/>
        </w:rPr>
        <w:t>4项目评审委员会依法根据磋商文件的规定与供应商进行磋商及对响应文件和最终磋商结果进行评审</w:t>
      </w:r>
      <w:r>
        <w:rPr>
          <w:rFonts w:ascii="宋体" w:hAnsi="宋体" w:cs="宋体"/>
          <w:kern w:val="1"/>
        </w:rPr>
        <w:t>,</w:t>
      </w:r>
      <w:r>
        <w:rPr>
          <w:rFonts w:hint="eastAsia" w:ascii="宋体" w:hAnsi="宋体" w:cs="宋体"/>
          <w:kern w:val="1"/>
        </w:rPr>
        <w:t>完成评审报告；向采购人报告评审意见，并据此推荐中选候选供应商。</w:t>
      </w:r>
    </w:p>
    <w:p>
      <w:pPr>
        <w:tabs>
          <w:tab w:val="left" w:pos="8280"/>
        </w:tabs>
        <w:spacing w:line="360" w:lineRule="auto"/>
        <w:ind w:firstLine="420" w:firstLineChars="200"/>
        <w:rPr>
          <w:rFonts w:ascii="宋体" w:hAnsi="宋体" w:cs="宋体"/>
          <w:kern w:val="1"/>
        </w:rPr>
      </w:pPr>
      <w:r>
        <w:rPr>
          <w:rFonts w:ascii="宋体" w:hAnsi="宋体" w:cs="宋体"/>
          <w:kern w:val="1"/>
        </w:rPr>
        <w:t>1.</w:t>
      </w:r>
      <w:r>
        <w:rPr>
          <w:rFonts w:hint="eastAsia" w:ascii="宋体" w:hAnsi="宋体" w:cs="宋体"/>
          <w:kern w:val="1"/>
        </w:rPr>
        <w:t>5参加磋商工作的所有人员应遵守</w:t>
      </w:r>
      <w:r>
        <w:rPr>
          <w:rFonts w:hint="eastAsia" w:ascii="Calibri" w:hAnsi="Calibri"/>
          <w:kern w:val="1"/>
        </w:rPr>
        <w:t>相关法律、法规的规定</w:t>
      </w:r>
      <w:r>
        <w:rPr>
          <w:rFonts w:hint="eastAsia" w:ascii="宋体" w:hAnsi="宋体" w:cs="宋体"/>
          <w:kern w:val="1"/>
        </w:rPr>
        <w:t>，严格保密，确保竞争性磋商工作公平、公正，任何单位和个人不得无理干预项目评审委员会的正常工作。</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96" w:name="_Toc507608757"/>
      <w:r>
        <w:rPr>
          <w:rFonts w:hint="eastAsia" w:asciiTheme="minorEastAsia" w:hAnsiTheme="minorEastAsia" w:eastAsiaTheme="minorEastAsia"/>
          <w:b/>
          <w:kern w:val="1"/>
          <w:szCs w:val="21"/>
        </w:rPr>
        <w:t>二、评审方法</w:t>
      </w:r>
      <w:bookmarkEnd w:id="96"/>
    </w:p>
    <w:p>
      <w:pPr>
        <w:tabs>
          <w:tab w:val="left" w:pos="8280"/>
        </w:tabs>
        <w:spacing w:line="360" w:lineRule="auto"/>
        <w:ind w:firstLine="420" w:firstLineChars="200"/>
        <w:rPr>
          <w:rFonts w:ascii="宋体" w:hAnsi="宋体" w:cs="宋体"/>
          <w:kern w:val="1"/>
        </w:rPr>
      </w:pPr>
      <w:r>
        <w:rPr>
          <w:rFonts w:ascii="宋体" w:hAnsi="宋体" w:cs="宋体"/>
          <w:kern w:val="1"/>
        </w:rPr>
        <w:t xml:space="preserve">2.1 </w:t>
      </w:r>
      <w:r>
        <w:rPr>
          <w:rFonts w:hint="eastAsia" w:ascii="宋体" w:hAnsi="宋体" w:cs="宋体"/>
          <w:kern w:val="1"/>
        </w:rPr>
        <w:t>本次磋商项目的评审采用</w:t>
      </w:r>
      <w:r>
        <w:rPr>
          <w:rFonts w:hint="eastAsia" w:ascii="宋体" w:hAnsi="宋体" w:cs="宋体"/>
          <w:b/>
          <w:kern w:val="1"/>
          <w:u w:val="single"/>
        </w:rPr>
        <w:t>综合评分法</w:t>
      </w:r>
      <w:r>
        <w:rPr>
          <w:rFonts w:hint="eastAsia" w:ascii="宋体" w:hAnsi="宋体" w:cs="宋体"/>
          <w:kern w:val="1"/>
        </w:rPr>
        <w:t>，是指响应文件满足磋商文件全部实质性要求且按评审因素的各项指标评审得分最高的（如采购拟中选的供应商多于一家的，按得分排名顺序依次确定）的供应商为中选候选供应商的评审方法。</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2.2 </w:t>
      </w:r>
      <w:r>
        <w:rPr>
          <w:rFonts w:hint="eastAsia" w:ascii="宋体" w:hAnsi="宋体" w:cs="宋体"/>
          <w:kern w:val="1"/>
        </w:rPr>
        <w:t>评审分四阶段进行：</w:t>
      </w:r>
      <w:r>
        <w:rPr>
          <w:rFonts w:hint="eastAsia" w:ascii="宋体" w:hAnsi="宋体" w:cs="宋体"/>
          <w:b/>
          <w:kern w:val="1"/>
        </w:rPr>
        <w:t>第一阶段</w:t>
      </w:r>
      <w:r>
        <w:rPr>
          <w:rFonts w:hint="eastAsia" w:ascii="宋体" w:hAnsi="宋体" w:cs="宋体"/>
          <w:kern w:val="1"/>
        </w:rPr>
        <w:t>进行商务技术磋商；</w:t>
      </w:r>
      <w:r>
        <w:rPr>
          <w:rFonts w:hint="eastAsia" w:ascii="宋体" w:hAnsi="宋体" w:cs="宋体"/>
          <w:b/>
          <w:kern w:val="1"/>
        </w:rPr>
        <w:t>第二阶段</w:t>
      </w:r>
      <w:r>
        <w:rPr>
          <w:rFonts w:hint="eastAsia" w:ascii="宋体" w:hAnsi="宋体" w:cs="宋体"/>
          <w:kern w:val="1"/>
        </w:rPr>
        <w:t>进行价格磋商和最终报价；</w:t>
      </w:r>
      <w:r>
        <w:rPr>
          <w:rFonts w:hint="eastAsia" w:ascii="宋体" w:hAnsi="宋体" w:cs="宋体"/>
          <w:b/>
          <w:kern w:val="1"/>
        </w:rPr>
        <w:t>第三阶段</w:t>
      </w:r>
      <w:r>
        <w:rPr>
          <w:rFonts w:hint="eastAsia" w:ascii="宋体" w:hAnsi="宋体" w:cs="宋体"/>
          <w:kern w:val="1"/>
        </w:rPr>
        <w:t>进行资格性和符合性审查；</w:t>
      </w:r>
      <w:r>
        <w:rPr>
          <w:rFonts w:hint="eastAsia" w:ascii="宋体" w:hAnsi="宋体" w:cs="宋体"/>
          <w:b/>
          <w:kern w:val="1"/>
        </w:rPr>
        <w:t>第四阶段</w:t>
      </w:r>
      <w:r>
        <w:rPr>
          <w:rFonts w:hint="eastAsia" w:ascii="宋体" w:hAnsi="宋体" w:cs="宋体"/>
          <w:kern w:val="1"/>
        </w:rPr>
        <w:t>进行技术商务及价格的详细评审。</w:t>
      </w:r>
    </w:p>
    <w:p>
      <w:pPr>
        <w:widowControl/>
        <w:spacing w:line="360" w:lineRule="auto"/>
        <w:ind w:firstLine="420" w:firstLineChars="200"/>
        <w:rPr>
          <w:rFonts w:ascii="宋体" w:hAnsi="宋体" w:cs="宋体"/>
          <w:kern w:val="1"/>
        </w:rPr>
      </w:pPr>
      <w:r>
        <w:rPr>
          <w:rFonts w:ascii="宋体" w:hAnsi="宋体" w:cs="宋体"/>
          <w:kern w:val="1"/>
        </w:rPr>
        <w:t>2.3</w:t>
      </w:r>
      <w:r>
        <w:rPr>
          <w:rFonts w:hint="eastAsia" w:ascii="宋体" w:hAnsi="宋体" w:cs="宋体"/>
          <w:kern w:val="1"/>
        </w:rPr>
        <w:t>评分及其统计：按照评审程序、评分标准以及权重分配的规定，项目评审委员会各成员分别首先就各个供应商的响应情况进行评议和比较，评出其技术评分、商务和价格得分。各评委评分的算术平均值即为该供应商的最终得分。得分计算结果小数点第三位四舍五入，保留至小数点后两位。</w:t>
      </w:r>
    </w:p>
    <w:p>
      <w:pPr>
        <w:tabs>
          <w:tab w:val="left" w:pos="8280"/>
        </w:tabs>
        <w:spacing w:line="360" w:lineRule="auto"/>
        <w:ind w:firstLine="420" w:firstLineChars="200"/>
        <w:rPr>
          <w:rFonts w:ascii="宋体"/>
        </w:rPr>
      </w:pPr>
      <w:r>
        <w:rPr>
          <w:rFonts w:ascii="宋体" w:hAnsi="宋体"/>
        </w:rPr>
        <w:t xml:space="preserve">2.4 </w:t>
      </w:r>
      <w:r>
        <w:rPr>
          <w:rFonts w:hint="eastAsia" w:ascii="宋体" w:hAnsi="宋体"/>
        </w:rPr>
        <w:t>评审</w:t>
      </w:r>
      <w:r>
        <w:rPr>
          <w:rFonts w:hint="eastAsia" w:ascii="Calibri" w:hAnsi="Calibri"/>
          <w:kern w:val="1"/>
          <w:szCs w:val="21"/>
        </w:rPr>
        <w:t>基本原则</w:t>
      </w:r>
      <w:r>
        <w:rPr>
          <w:rFonts w:hint="eastAsia" w:ascii="宋体" w:hAnsi="宋体"/>
        </w:rPr>
        <w:t>：评审工作依据国家采购的相关规定，遵循“公平、公正、择优、诚实信用”的原则。</w:t>
      </w:r>
    </w:p>
    <w:p>
      <w:pPr>
        <w:tabs>
          <w:tab w:val="left" w:pos="8280"/>
        </w:tabs>
        <w:spacing w:line="360" w:lineRule="auto"/>
        <w:ind w:firstLine="420" w:firstLineChars="200"/>
        <w:rPr>
          <w:rFonts w:ascii="宋体" w:hAnsi="宋体"/>
        </w:rPr>
      </w:pPr>
      <w:r>
        <w:rPr>
          <w:rFonts w:ascii="宋体" w:hAnsi="宋体"/>
        </w:rPr>
        <w:t xml:space="preserve">2.5 </w:t>
      </w:r>
      <w:r>
        <w:rPr>
          <w:rFonts w:hint="eastAsia" w:ascii="宋体" w:hAnsi="宋体"/>
        </w:rPr>
        <w:t>评审以磋商文件及其相关的修改补充文件（如有）、响应文件、澄清文件、磋商承诺文件和最终报价为依据，本着公正、科学、客观、平等竞争的精神，推荐技术先进、报价合理、经验丰富、信誉良好、售后服务好、及综合实力强的中选供应商。</w:t>
      </w:r>
    </w:p>
    <w:p>
      <w:pPr>
        <w:tabs>
          <w:tab w:val="left" w:pos="8280"/>
        </w:tabs>
        <w:spacing w:line="360" w:lineRule="auto"/>
        <w:ind w:firstLine="420" w:firstLineChars="200"/>
        <w:rPr>
          <w:rFonts w:ascii="Calibri" w:hAnsi="Calibri"/>
          <w:kern w:val="1"/>
          <w:szCs w:val="21"/>
        </w:rPr>
      </w:pPr>
      <w:r>
        <w:rPr>
          <w:rFonts w:hint="eastAsia" w:asciiTheme="minorEastAsia" w:hAnsiTheme="minorEastAsia" w:eastAsiaTheme="minorEastAsia"/>
          <w:kern w:val="1"/>
          <w:szCs w:val="21"/>
        </w:rPr>
        <w:t>2.6 如经两次</w:t>
      </w:r>
      <w:r>
        <w:rPr>
          <w:rFonts w:hint="eastAsia" w:ascii="Calibri" w:hAnsi="Calibri"/>
          <w:kern w:val="1"/>
          <w:szCs w:val="21"/>
        </w:rPr>
        <w:t>发布采购公告后，最终实质性响应供应商不足3家，采购人经按有关规定审批后，项目评审委员会可与实质性响应的供应商进行磋商及评审或单一谈判，直至推荐中选候选供应商。</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97" w:name="_Toc507608758"/>
      <w:r>
        <w:rPr>
          <w:rFonts w:hint="eastAsia" w:asciiTheme="minorEastAsia" w:hAnsiTheme="minorEastAsia" w:eastAsiaTheme="minorEastAsia"/>
          <w:b/>
          <w:kern w:val="1"/>
          <w:szCs w:val="21"/>
        </w:rPr>
        <w:t>三、磋商及最终报价</w:t>
      </w:r>
      <w:bookmarkEnd w:id="97"/>
    </w:p>
    <w:p>
      <w:pPr>
        <w:spacing w:line="360" w:lineRule="auto"/>
        <w:ind w:firstLine="420" w:firstLineChars="200"/>
        <w:rPr>
          <w:rFonts w:ascii="宋体" w:hAnsi="宋体" w:cs="宋体"/>
          <w:kern w:val="1"/>
        </w:rPr>
      </w:pPr>
      <w:r>
        <w:rPr>
          <w:rFonts w:ascii="宋体" w:hAnsi="宋体" w:cs="宋体"/>
          <w:kern w:val="1"/>
        </w:rPr>
        <w:t xml:space="preserve">3. </w:t>
      </w:r>
      <w:r>
        <w:rPr>
          <w:rFonts w:hint="eastAsia" w:ascii="宋体" w:hAnsi="宋体" w:cs="宋体"/>
          <w:kern w:val="1"/>
        </w:rPr>
        <w:t>磋商及最终报价</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3.1 </w:t>
      </w:r>
      <w:r>
        <w:rPr>
          <w:rFonts w:hint="eastAsia" w:ascii="宋体" w:hAnsi="宋体" w:cs="宋体"/>
          <w:kern w:val="1"/>
        </w:rPr>
        <w:t>项目评审委员会首先阅读供应商的响应文件，并按递交响应文件顺序或随机抽签排序的形式与在本《供应商须知》规定的时间内递交响应文件的供应商进行磋商。项目评审委员会对响应文件的有效性、完整性和响应程度进行审查时，可以要求供应商对响应文件中含义不明确、同类问题表述不一致或者有明显文字和计算错误的内容等作出必要的澄清、补正、说明或者更正，准许其在规定时间内补足相应资料。如不能在规定时间内补足，将可能导致该响应文件将会由于不符合磋商的基本要求而被拒绝。</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3.2 </w:t>
      </w:r>
      <w:r>
        <w:rPr>
          <w:rFonts w:hint="eastAsia" w:ascii="宋体" w:hAnsi="宋体" w:cs="宋体"/>
          <w:kern w:val="1"/>
        </w:rPr>
        <w:t>审查响应文件是否对磋商文件作出实质性的响应。对未作出实质性响应的供应商，由项目评审委员会将集体意见现场告知该供应商或向供应商联系人发出澄清函，以让其核证、澄清事实。供应商按项目评审委员会要求对响应文件进行澄清、说明或者更正，并应当以书面形式由其法定代表人或其授权代表签字或者加盖公章。</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3.3 </w:t>
      </w:r>
      <w:r>
        <w:rPr>
          <w:rFonts w:hint="eastAsia" w:ascii="宋体" w:hAnsi="宋体" w:cs="宋体"/>
          <w:kern w:val="1"/>
        </w:rPr>
        <w:t>项目评审委员会将与供应商就</w:t>
      </w:r>
      <w:r>
        <w:rPr>
          <w:rFonts w:hint="eastAsia" w:ascii="宋体" w:hAnsi="宋体"/>
        </w:rPr>
        <w:t>技术、商务、合同条款、报价等内容</w:t>
      </w:r>
      <w:r>
        <w:rPr>
          <w:rFonts w:hint="eastAsia" w:ascii="宋体" w:hAnsi="宋体" w:cs="宋体"/>
          <w:kern w:val="1"/>
        </w:rPr>
        <w:t>分别进行一轮或多轮的磋商，并形成项目评审报告。磋商目的在于澄清报价、优化需求，使所有供应商的响应具有可比性。在磋商过程中，项目评审委员会及相关人员应当严格遵循保密原则，未经供应商同意不得向任何人透露当事人技术、价格和其他重要信息。</w:t>
      </w:r>
    </w:p>
    <w:p>
      <w:pPr>
        <w:tabs>
          <w:tab w:val="left" w:pos="8280"/>
        </w:tabs>
        <w:spacing w:line="360" w:lineRule="auto"/>
        <w:ind w:firstLine="420" w:firstLineChars="200"/>
        <w:rPr>
          <w:rFonts w:ascii="宋体" w:hAnsi="宋体" w:cs="宋体"/>
          <w:kern w:val="1"/>
        </w:rPr>
      </w:pPr>
      <w:r>
        <w:rPr>
          <w:rFonts w:ascii="宋体" w:hAnsi="宋体" w:cs="宋体"/>
          <w:kern w:val="1"/>
        </w:rPr>
        <w:t>3.4</w:t>
      </w:r>
      <w:r>
        <w:rPr>
          <w:rFonts w:hint="eastAsia" w:ascii="宋体" w:hAnsi="宋体" w:cs="宋体"/>
          <w:kern w:val="1"/>
        </w:rPr>
        <w:t>磋商内容涉及磋商文件实质性变动的，须经采购人代表确认，作出的实质性变动是磋商文件的有效组成部分，项目评审委员会应当及时以书面形式同时通知所有参加磋商的供应商。</w:t>
      </w:r>
      <w:r>
        <w:rPr>
          <w:rFonts w:hint="eastAsia" w:asciiTheme="minorEastAsia" w:hAnsiTheme="minorEastAsia" w:eastAsiaTheme="minorEastAsia"/>
          <w:kern w:val="0"/>
          <w:szCs w:val="21"/>
        </w:rPr>
        <w:t>供应商应当按照磋商文件的变动情况和项目评审委员会的要求重新提交响应文件，并由其法定代表人或授权代表签字或者加盖公章。</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3.5 </w:t>
      </w:r>
      <w:r>
        <w:rPr>
          <w:rFonts w:hint="eastAsia" w:ascii="宋体" w:hAnsi="宋体" w:cs="宋体"/>
          <w:kern w:val="1"/>
        </w:rPr>
        <w:t>供应商按照项目评审委员会要求进行澄清、补正、说明或者更正的，或由于磋商文件的变动情况被项目评审委员会要求重新提交响应文件的，应由其法定代表人或授权代表签字或者加盖公章。由授权代表签字的，应当附法定代表人授权书。</w:t>
      </w:r>
    </w:p>
    <w:p>
      <w:pPr>
        <w:tabs>
          <w:tab w:val="left" w:pos="8280"/>
        </w:tabs>
        <w:spacing w:line="360" w:lineRule="auto"/>
        <w:ind w:firstLine="420" w:firstLineChars="200"/>
        <w:rPr>
          <w:rFonts w:ascii="宋体" w:hAnsi="宋体" w:cs="宋体"/>
          <w:kern w:val="1"/>
        </w:rPr>
      </w:pPr>
      <w:r>
        <w:rPr>
          <w:rFonts w:ascii="宋体" w:hAnsi="宋体" w:cs="宋体"/>
          <w:kern w:val="1"/>
        </w:rPr>
        <w:t>3.</w:t>
      </w:r>
      <w:r>
        <w:rPr>
          <w:rFonts w:hint="eastAsia" w:ascii="宋体" w:hAnsi="宋体" w:cs="宋体"/>
          <w:kern w:val="1"/>
        </w:rPr>
        <w:t>6最终报价：磋商结束后，项目评审委员会应当要求所有实质性响应的供应商在规定时间内提交最终报价，最终报价时间视磋商进程由项目评审委员会决定，项目评审委员会对供应商的响应文件、澄清文件、磋商承诺及最后报价等方面进行评审。</w:t>
      </w:r>
      <w:r>
        <w:rPr>
          <w:rFonts w:hint="eastAsia" w:ascii="宋体" w:hAnsi="宋体" w:cs="宋体"/>
          <w:b/>
          <w:kern w:val="1"/>
        </w:rPr>
        <w:t>除非在磋商中项目评审委员会调整或修改采购需求内容，采购人不接受高于前面轮次响应报价的最终报价</w:t>
      </w:r>
      <w:r>
        <w:rPr>
          <w:rFonts w:hint="eastAsia" w:ascii="宋体" w:hAnsi="宋体" w:cs="宋体"/>
          <w:kern w:val="1"/>
        </w:rPr>
        <w:t>。项目评审委员会认为供应商的最终报价明显低于其他供应商的报价，有可能影响产品或服务质量或者不能诚信履约的，应当要求其在合理的时间内提供书面说明，必要时提交相关证明材料；供应商不能证明其报价合理性的，项目评审委员会应当将其作为无效报价处理。</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98" w:name="_Toc507608759"/>
      <w:r>
        <w:rPr>
          <w:rFonts w:hint="eastAsia" w:asciiTheme="minorEastAsia" w:hAnsiTheme="minorEastAsia" w:eastAsiaTheme="minorEastAsia"/>
          <w:b/>
          <w:kern w:val="1"/>
          <w:szCs w:val="21"/>
        </w:rPr>
        <w:t>四、初步评审</w:t>
      </w:r>
      <w:bookmarkEnd w:id="98"/>
    </w:p>
    <w:p>
      <w:pPr>
        <w:tabs>
          <w:tab w:val="left" w:pos="8280"/>
        </w:tabs>
        <w:spacing w:line="360" w:lineRule="auto"/>
        <w:ind w:firstLine="420" w:firstLineChars="200"/>
        <w:rPr>
          <w:rFonts w:ascii="宋体" w:hAnsi="宋体" w:cs="宋体"/>
          <w:kern w:val="1"/>
        </w:rPr>
      </w:pPr>
      <w:r>
        <w:rPr>
          <w:rFonts w:ascii="宋体" w:hAnsi="宋体" w:cs="宋体"/>
          <w:kern w:val="1"/>
        </w:rPr>
        <w:t>4.</w:t>
      </w:r>
      <w:r>
        <w:rPr>
          <w:rFonts w:hint="eastAsia" w:ascii="宋体" w:hAnsi="宋体" w:cs="宋体"/>
          <w:kern w:val="1"/>
        </w:rPr>
        <w:t>资格性和符合性评审</w:t>
      </w:r>
    </w:p>
    <w:p>
      <w:pPr>
        <w:tabs>
          <w:tab w:val="left" w:pos="8280"/>
        </w:tabs>
        <w:spacing w:line="360" w:lineRule="auto"/>
        <w:ind w:firstLine="420" w:firstLineChars="200"/>
        <w:rPr>
          <w:rFonts w:ascii="宋体" w:hAnsi="宋体" w:cs="宋体"/>
          <w:kern w:val="1"/>
        </w:rPr>
      </w:pPr>
      <w:r>
        <w:rPr>
          <w:rFonts w:hint="eastAsia" w:ascii="宋体" w:hAnsi="宋体" w:cs="宋体"/>
          <w:kern w:val="1"/>
        </w:rPr>
        <w:t>4.1</w:t>
      </w:r>
      <w:r>
        <w:rPr>
          <w:rFonts w:hint="eastAsia" w:ascii="宋体" w:hAnsi="宋体" w:cs="Arial"/>
          <w:kern w:val="1"/>
          <w:szCs w:val="21"/>
        </w:rPr>
        <w:t>磋商和最后报价结束后，项目评审委员会将按照《初步评审表》（见附表</w:t>
      </w:r>
      <w:r>
        <w:rPr>
          <w:rFonts w:ascii="宋体" w:hAnsi="宋体" w:cs="Arial"/>
          <w:kern w:val="1"/>
          <w:szCs w:val="21"/>
        </w:rPr>
        <w:t>1</w:t>
      </w:r>
      <w:r>
        <w:rPr>
          <w:rFonts w:hint="eastAsia" w:ascii="宋体" w:hAnsi="宋体" w:cs="Arial"/>
          <w:kern w:val="1"/>
          <w:szCs w:val="21"/>
        </w:rPr>
        <w:t>）内容对响应文件进行资格性审查和符合性检查。</w:t>
      </w:r>
      <w:r>
        <w:rPr>
          <w:rFonts w:hint="eastAsia" w:ascii="宋体" w:hAnsi="宋体" w:cs="宋体"/>
          <w:kern w:val="1"/>
        </w:rPr>
        <w:t>只有对《初步</w:t>
      </w:r>
      <w:r>
        <w:rPr>
          <w:rFonts w:hint="eastAsia" w:ascii="宋体" w:hAnsi="宋体" w:cs="Arial"/>
          <w:kern w:val="1"/>
          <w:szCs w:val="21"/>
        </w:rPr>
        <w:t>评审</w:t>
      </w:r>
      <w:r>
        <w:rPr>
          <w:rFonts w:hint="eastAsia" w:ascii="宋体" w:hAnsi="宋体" w:cs="宋体"/>
          <w:kern w:val="1"/>
        </w:rPr>
        <w:t>表》所列各项作出实质性响应的响应文件才能通过初步评审。</w:t>
      </w:r>
    </w:p>
    <w:p>
      <w:pPr>
        <w:tabs>
          <w:tab w:val="left" w:pos="8280"/>
        </w:tabs>
        <w:spacing w:line="360" w:lineRule="auto"/>
        <w:ind w:firstLine="420" w:firstLineChars="200"/>
        <w:rPr>
          <w:rFonts w:ascii="宋体" w:hAnsi="宋体" w:cs="宋体"/>
          <w:kern w:val="1"/>
        </w:rPr>
      </w:pPr>
      <w:r>
        <w:rPr>
          <w:rFonts w:hint="eastAsia" w:ascii="宋体" w:hAnsi="宋体" w:cs="宋体"/>
          <w:kern w:val="1"/>
        </w:rPr>
        <w:t>4.2对是否实质性响应磋商文件的要求有争议的响应文件，由项目评审委员会进行投票表决，被认为响应的得票超过半数的供应商才有资格进入下一阶段的评审，否则将被淘汰。</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99" w:name="_Toc507608760"/>
      <w:r>
        <w:rPr>
          <w:rFonts w:hint="eastAsia" w:asciiTheme="minorEastAsia" w:hAnsiTheme="minorEastAsia" w:eastAsiaTheme="minorEastAsia"/>
          <w:b/>
          <w:kern w:val="1"/>
          <w:szCs w:val="21"/>
        </w:rPr>
        <w:t>五、详细评审</w:t>
      </w:r>
      <w:bookmarkEnd w:id="99"/>
    </w:p>
    <w:p>
      <w:pPr>
        <w:spacing w:line="360" w:lineRule="auto"/>
        <w:ind w:firstLine="420" w:firstLineChars="200"/>
        <w:rPr>
          <w:rFonts w:ascii="宋体" w:hAnsi="宋体" w:cs="宋体"/>
          <w:kern w:val="1"/>
        </w:rPr>
      </w:pPr>
      <w:r>
        <w:rPr>
          <w:rFonts w:ascii="宋体" w:hAnsi="宋体" w:cs="宋体"/>
          <w:kern w:val="1"/>
        </w:rPr>
        <w:t>5.</w:t>
      </w:r>
      <w:r>
        <w:rPr>
          <w:rFonts w:hint="eastAsia" w:ascii="宋体" w:hAnsi="宋体" w:cs="宋体"/>
          <w:kern w:val="1"/>
        </w:rPr>
        <w:t>1详细评审是由项目评审委员对通过初步评审的响应文件根据磋商文件要求进行商务、技术和价格的评议，涉及评审价格的修正按下列5.2的原则执行，并按照《评分标准表》</w:t>
      </w:r>
      <w:r>
        <w:rPr>
          <w:rFonts w:hint="eastAsia" w:ascii="宋体" w:hAnsi="宋体" w:cs="Arial"/>
          <w:kern w:val="1"/>
          <w:szCs w:val="21"/>
        </w:rPr>
        <w:t>（见附表2）</w:t>
      </w:r>
      <w:r>
        <w:rPr>
          <w:rFonts w:hint="eastAsia" w:ascii="宋体" w:hAnsi="宋体" w:cs="宋体"/>
          <w:kern w:val="1"/>
        </w:rPr>
        <w:t>进行评分，评分统计按本评审方法</w:t>
      </w:r>
      <w:r>
        <w:rPr>
          <w:rFonts w:ascii="宋体" w:hAnsi="宋体" w:cs="宋体"/>
          <w:kern w:val="1"/>
        </w:rPr>
        <w:t>2.3</w:t>
      </w:r>
      <w:r>
        <w:rPr>
          <w:rFonts w:hint="eastAsia" w:ascii="宋体" w:hAnsi="宋体" w:cs="宋体"/>
          <w:kern w:val="1"/>
        </w:rPr>
        <w:t>条规定进行，评审价格的修正和调整结果填写《价格评审表》</w:t>
      </w:r>
      <w:r>
        <w:rPr>
          <w:rFonts w:hint="eastAsia" w:ascii="宋体" w:hAnsi="宋体" w:cs="Arial"/>
          <w:kern w:val="1"/>
          <w:szCs w:val="21"/>
        </w:rPr>
        <w:t>（见附表3）</w:t>
      </w:r>
      <w:r>
        <w:rPr>
          <w:rFonts w:hint="eastAsia" w:ascii="宋体" w:hAnsi="宋体" w:cs="宋体"/>
          <w:kern w:val="1"/>
        </w:rPr>
        <w:t>。</w:t>
      </w:r>
    </w:p>
    <w:p>
      <w:pPr>
        <w:tabs>
          <w:tab w:val="left" w:pos="8280"/>
        </w:tabs>
        <w:spacing w:line="360" w:lineRule="auto"/>
        <w:ind w:firstLine="420" w:firstLineChars="200"/>
        <w:rPr>
          <w:rFonts w:ascii="宋体" w:hAnsi="宋体" w:cs="宋体"/>
          <w:kern w:val="1"/>
        </w:rPr>
      </w:pPr>
      <w:r>
        <w:rPr>
          <w:rFonts w:ascii="宋体" w:hAnsi="宋体" w:cs="宋体"/>
          <w:kern w:val="1"/>
        </w:rPr>
        <w:t>5.</w:t>
      </w:r>
      <w:r>
        <w:rPr>
          <w:rFonts w:hint="eastAsia" w:ascii="宋体" w:hAnsi="宋体" w:cs="宋体"/>
          <w:kern w:val="1"/>
        </w:rPr>
        <w:t>2</w:t>
      </w:r>
      <w:r>
        <w:rPr>
          <w:rFonts w:hint="eastAsia" w:ascii="宋体" w:hAnsi="宋体"/>
        </w:rPr>
        <w:t>评审价的修正：</w:t>
      </w:r>
      <w:r>
        <w:rPr>
          <w:rFonts w:hint="eastAsia" w:ascii="宋体" w:hAnsi="宋体" w:cs="宋体"/>
          <w:kern w:val="1"/>
        </w:rPr>
        <w:t>项目评审委员会对各供应商的最终报价进行评审，并按《评分标准表》的标准进行价格评审和得分统计。项目评审委员会对各供应商的最终报价，如存在</w:t>
      </w:r>
      <w:r>
        <w:rPr>
          <w:rFonts w:hint="eastAsia" w:ascii="宋体" w:hAnsi="宋体" w:cs="宋体"/>
          <w:kern w:val="1"/>
          <w:szCs w:val="21"/>
        </w:rPr>
        <w:t>报价的算术错误、缺项、单列项</w:t>
      </w:r>
      <w:r>
        <w:rPr>
          <w:rFonts w:hint="eastAsia" w:ascii="宋体" w:hAnsi="宋体" w:cs="宋体"/>
          <w:kern w:val="1"/>
        </w:rPr>
        <w:t>，则按下述原则进行校核、评审或作出必要的修正。</w:t>
      </w:r>
      <w:r>
        <w:rPr>
          <w:rFonts w:hint="eastAsia" w:ascii="宋体" w:hAnsi="宋体" w:cs="宋体"/>
          <w:kern w:val="1"/>
          <w:szCs w:val="21"/>
        </w:rPr>
        <w:t>如果出现多种处理原则所产生的结果不一致的情况，以最高的修正价纳入计算</w:t>
      </w:r>
      <w:r>
        <w:rPr>
          <w:rFonts w:hint="eastAsia" w:ascii="宋体" w:hAnsi="宋体" w:cs="宋体"/>
          <w:kern w:val="1"/>
        </w:rPr>
        <w:t>。项目评审委员会按下述原则调整的价格对其供应商具有约束力。如果供应商不接受修正后的价格，其报价将被拒绝。</w:t>
      </w:r>
    </w:p>
    <w:p>
      <w:pPr>
        <w:spacing w:line="360" w:lineRule="auto"/>
        <w:ind w:firstLine="420" w:firstLineChars="200"/>
        <w:rPr>
          <w:rFonts w:ascii="宋体" w:hAnsi="宋体" w:cs="宋体"/>
          <w:kern w:val="1"/>
        </w:rPr>
      </w:pPr>
      <w:r>
        <w:rPr>
          <w:rFonts w:hint="eastAsia" w:ascii="宋体" w:hAnsi="宋体" w:cs="宋体"/>
          <w:kern w:val="1"/>
        </w:rPr>
        <w:t>⑴</w:t>
      </w:r>
      <w:r>
        <w:rPr>
          <w:rFonts w:hint="eastAsia" w:ascii="宋体" w:hAnsi="宋体" w:cs="宋体"/>
          <w:kern w:val="1"/>
          <w:szCs w:val="21"/>
        </w:rPr>
        <w:t>大</w:t>
      </w:r>
      <w:r>
        <w:rPr>
          <w:rFonts w:hint="eastAsia" w:ascii="宋体" w:hAnsi="宋体" w:cs="宋体"/>
          <w:kern w:val="1"/>
        </w:rPr>
        <w:t>写金额与小写金额不一致的，以大写金额为准；用数字表示的数额与用文字表示的数额不一致时，以文字表示的数额为准。</w:t>
      </w:r>
    </w:p>
    <w:p>
      <w:pPr>
        <w:spacing w:line="360" w:lineRule="auto"/>
        <w:ind w:firstLine="420" w:firstLineChars="200"/>
        <w:rPr>
          <w:rFonts w:ascii="宋体"/>
          <w:szCs w:val="21"/>
        </w:rPr>
      </w:pPr>
      <w:r>
        <w:rPr>
          <w:rFonts w:hint="eastAsia" w:ascii="宋体" w:hAnsi="宋体"/>
        </w:rPr>
        <w:t>⑵总价金额与按单价汇总金额不一致的，以单价金额计算结果为准；单价金</w:t>
      </w:r>
      <w:r>
        <w:rPr>
          <w:rFonts w:hint="eastAsia" w:ascii="宋体" w:hAnsi="宋体"/>
          <w:szCs w:val="21"/>
        </w:rPr>
        <w:t>额小数点有明显错位的，应以总价为准，并修改单价。</w:t>
      </w:r>
    </w:p>
    <w:p>
      <w:pPr>
        <w:spacing w:line="360" w:lineRule="auto"/>
        <w:ind w:firstLine="420" w:firstLineChars="200"/>
        <w:rPr>
          <w:rFonts w:ascii="宋体" w:hAnsi="宋体"/>
        </w:rPr>
      </w:pPr>
      <w:r>
        <w:rPr>
          <w:rFonts w:hint="eastAsia" w:ascii="宋体" w:hAnsi="宋体"/>
        </w:rPr>
        <w:t>⑶对报价的关键、主要报价内容，经磋商后的最终报价，报价人报价漏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pPr>
        <w:spacing w:line="360" w:lineRule="auto"/>
        <w:ind w:firstLine="420" w:firstLineChars="200"/>
        <w:rPr>
          <w:rFonts w:ascii="宋体" w:hAnsi="宋体"/>
        </w:rPr>
      </w:pPr>
      <w:r>
        <w:rPr>
          <w:rFonts w:hint="eastAsia" w:ascii="宋体" w:hAnsi="宋体"/>
        </w:rPr>
        <w:t>⑷对数量的评审，以《用户需求书》所明示数量为准；《用户需求书》未明示的，由磋商小组以其专业知识判断。</w:t>
      </w:r>
    </w:p>
    <w:p>
      <w:pPr>
        <w:spacing w:line="360" w:lineRule="auto"/>
        <w:ind w:firstLine="420" w:firstLineChars="200"/>
        <w:rPr>
          <w:rFonts w:ascii="宋体" w:hAnsi="宋体" w:cs="宋体"/>
          <w:kern w:val="1"/>
        </w:rPr>
      </w:pPr>
      <w:r>
        <w:rPr>
          <w:rFonts w:hint="eastAsia" w:ascii="Calibri" w:hAnsi="Calibri" w:cs="宋体"/>
          <w:kern w:val="1"/>
        </w:rPr>
        <w:t>供应商报价被修正并经评审后最终确定为中选候选供应商的，供应商须接受报价按照就低不就高原则（有利于采购人原则）和采购人签订合同，即报价比修正后的价格低，合同按报价签订；报价比修正后的价格高，合同按修正后的价格签订；如</w:t>
      </w:r>
      <w:r>
        <w:rPr>
          <w:rFonts w:hint="eastAsia" w:ascii="宋体" w:hAnsi="宋体" w:cs="宋体"/>
          <w:kern w:val="1"/>
        </w:rPr>
        <w:t>对同一子项目重复报价的，合同签订时须对重复部分报价予以剔除；</w:t>
      </w:r>
      <w:r>
        <w:rPr>
          <w:rFonts w:hint="eastAsia" w:ascii="宋体" w:hAnsi="宋体"/>
        </w:rPr>
        <w:t>漏项的报价，视同已包括在报价中，合同签订时不再调增</w:t>
      </w:r>
      <w:r>
        <w:rPr>
          <w:rFonts w:hint="eastAsia" w:ascii="Calibri" w:hAnsi="Calibri" w:cs="宋体"/>
          <w:kern w:val="1"/>
        </w:rPr>
        <w:t>。供应商如不接受本条规定的价格确定原则，其中选资格无效。</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100" w:name="_Toc507608761"/>
      <w:r>
        <w:rPr>
          <w:rFonts w:hint="eastAsia" w:asciiTheme="minorEastAsia" w:hAnsiTheme="minorEastAsia" w:eastAsiaTheme="minorEastAsia"/>
          <w:b/>
          <w:kern w:val="1"/>
          <w:szCs w:val="21"/>
        </w:rPr>
        <w:t>六、推荐中选供应商</w:t>
      </w:r>
      <w:bookmarkEnd w:id="100"/>
    </w:p>
    <w:p>
      <w:pPr>
        <w:tabs>
          <w:tab w:val="left" w:pos="8280"/>
        </w:tabs>
        <w:spacing w:line="360" w:lineRule="auto"/>
        <w:ind w:firstLine="420" w:firstLineChars="200"/>
        <w:rPr>
          <w:rFonts w:ascii="宋体" w:hAnsi="宋体" w:cs="宋体"/>
          <w:kern w:val="1"/>
        </w:rPr>
      </w:pPr>
      <w:r>
        <w:rPr>
          <w:rFonts w:ascii="宋体" w:hAnsi="宋体" w:cs="宋体"/>
          <w:kern w:val="1"/>
        </w:rPr>
        <w:t>6.</w:t>
      </w:r>
      <w:r>
        <w:rPr>
          <w:rFonts w:hint="eastAsia" w:ascii="宋体" w:hAnsi="宋体" w:cs="宋体"/>
          <w:kern w:val="1"/>
        </w:rPr>
        <w:t>评审报告及中选候选供应商的推荐</w:t>
      </w:r>
    </w:p>
    <w:p>
      <w:pPr>
        <w:spacing w:line="360" w:lineRule="auto"/>
        <w:ind w:firstLine="420" w:firstLineChars="200"/>
        <w:rPr>
          <w:rFonts w:ascii="Calibri" w:hAnsi="Calibri"/>
          <w:kern w:val="1"/>
        </w:rPr>
      </w:pPr>
      <w:r>
        <w:rPr>
          <w:rFonts w:ascii="宋体" w:hAnsi="宋体" w:cs="宋体"/>
          <w:kern w:val="1"/>
        </w:rPr>
        <w:t>6.1</w:t>
      </w:r>
      <w:r>
        <w:rPr>
          <w:rFonts w:hint="eastAsia" w:ascii="宋体" w:hAnsi="宋体" w:cs="宋体"/>
          <w:kern w:val="1"/>
          <w:szCs w:val="21"/>
        </w:rPr>
        <w:t>项目评审委员会</w:t>
      </w:r>
      <w:r>
        <w:rPr>
          <w:rFonts w:hint="eastAsia" w:ascii="宋体" w:hAnsi="宋体" w:cs="宋体"/>
          <w:kern w:val="1"/>
        </w:rPr>
        <w:t>依据评审结果</w:t>
      </w:r>
      <w:r>
        <w:rPr>
          <w:rFonts w:hint="eastAsia" w:ascii="宋体" w:hAnsi="宋体" w:cs="宋体"/>
          <w:kern w:val="1"/>
          <w:szCs w:val="21"/>
        </w:rPr>
        <w:t>出具评审报</w:t>
      </w:r>
      <w:r>
        <w:rPr>
          <w:rFonts w:hint="eastAsia" w:ascii="宋体" w:hAnsi="宋体" w:cs="宋体"/>
          <w:kern w:val="1"/>
        </w:rPr>
        <w:t>告，</w:t>
      </w:r>
      <w:r>
        <w:rPr>
          <w:rFonts w:hint="eastAsia" w:ascii="Calibri" w:hAnsi="Calibri"/>
          <w:kern w:val="1"/>
        </w:rPr>
        <w:t>按照各有效响应供应商其综合得分由高到低顺序排列</w:t>
      </w:r>
      <w:r>
        <w:rPr>
          <w:rFonts w:hint="eastAsia" w:ascii="宋体" w:hAnsi="宋体" w:cs="宋体"/>
          <w:kern w:val="1"/>
        </w:rPr>
        <w:t>推荐中选候选供应商。</w:t>
      </w:r>
      <w:r>
        <w:rPr>
          <w:rFonts w:hint="eastAsia" w:ascii="Calibri" w:hAnsi="Calibri"/>
          <w:kern w:val="1"/>
        </w:rPr>
        <w:t>综合得分相同的，按下列顺序比较确定：（</w:t>
      </w:r>
      <w:r>
        <w:rPr>
          <w:rFonts w:ascii="Calibri" w:hAnsi="Calibri"/>
          <w:kern w:val="1"/>
        </w:rPr>
        <w:t>1</w:t>
      </w:r>
      <w:r>
        <w:rPr>
          <w:rFonts w:hint="eastAsia" w:ascii="Calibri" w:hAnsi="Calibri"/>
          <w:kern w:val="1"/>
        </w:rPr>
        <w:t>）磋商最终报价的评审价格（由低到高）；（</w:t>
      </w:r>
      <w:r>
        <w:rPr>
          <w:rFonts w:ascii="Calibri" w:hAnsi="Calibri"/>
          <w:kern w:val="1"/>
        </w:rPr>
        <w:t>2</w:t>
      </w:r>
      <w:r>
        <w:rPr>
          <w:rFonts w:hint="eastAsia" w:ascii="Calibri" w:hAnsi="Calibri"/>
          <w:kern w:val="1"/>
        </w:rPr>
        <w:t>）技术得分（由高到低）；（</w:t>
      </w:r>
      <w:r>
        <w:rPr>
          <w:rFonts w:ascii="Calibri" w:hAnsi="Calibri"/>
          <w:kern w:val="1"/>
        </w:rPr>
        <w:t>3</w:t>
      </w:r>
      <w:r>
        <w:rPr>
          <w:rFonts w:hint="eastAsia" w:ascii="Calibri" w:hAnsi="Calibri"/>
          <w:kern w:val="1"/>
        </w:rPr>
        <w:t>）商务得分（由高到低）。如以上都相同的，名次由项目评审委员会投票确定。排名第一的供应商为第一中选候选供应商，排名第二的供应商为第二中选候选供应商，以此类推。</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101" w:name="_Toc507608762"/>
      <w:r>
        <w:rPr>
          <w:rFonts w:hint="eastAsia" w:asciiTheme="minorEastAsia" w:hAnsiTheme="minorEastAsia" w:eastAsiaTheme="minorEastAsia"/>
          <w:b/>
          <w:kern w:val="1"/>
          <w:szCs w:val="21"/>
        </w:rPr>
        <w:t>七、法律责任</w:t>
      </w:r>
      <w:bookmarkEnd w:id="101"/>
    </w:p>
    <w:p>
      <w:pPr>
        <w:spacing w:line="360" w:lineRule="auto"/>
        <w:ind w:firstLine="420" w:firstLineChars="200"/>
        <w:rPr>
          <w:rFonts w:ascii="宋体" w:hAnsi="宋体" w:cs="宋体"/>
          <w:kern w:val="1"/>
        </w:rPr>
      </w:pPr>
      <w:r>
        <w:rPr>
          <w:rFonts w:ascii="宋体" w:hAnsi="宋体" w:cs="宋体"/>
          <w:kern w:val="1"/>
        </w:rPr>
        <w:t xml:space="preserve">7. </w:t>
      </w:r>
      <w:r>
        <w:rPr>
          <w:rFonts w:hint="eastAsia" w:ascii="宋体" w:hAnsi="宋体" w:cs="宋体"/>
          <w:kern w:val="1"/>
        </w:rPr>
        <w:t>磋商、评审过程的保密</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7.1 </w:t>
      </w:r>
      <w:r>
        <w:rPr>
          <w:rFonts w:hint="eastAsia" w:ascii="宋体" w:hAnsi="宋体" w:cs="宋体"/>
          <w:kern w:val="1"/>
        </w:rPr>
        <w:t>接受报价后，直至中选供应商与采购人签订合同止，凡与磋商、审查、澄清、评价、比较、确定中选供应商意见有关的内容，任何人均不得向与评审无关的人员透露。</w:t>
      </w:r>
    </w:p>
    <w:p>
      <w:pPr>
        <w:tabs>
          <w:tab w:val="left" w:pos="8280"/>
        </w:tabs>
        <w:spacing w:line="360" w:lineRule="auto"/>
        <w:ind w:firstLine="420" w:firstLineChars="200"/>
        <w:rPr>
          <w:rFonts w:ascii="宋体" w:hAnsi="宋体" w:cs="宋体"/>
          <w:kern w:val="1"/>
        </w:rPr>
      </w:pPr>
      <w:r>
        <w:rPr>
          <w:rFonts w:ascii="宋体" w:hAnsi="宋体" w:cs="宋体"/>
          <w:kern w:val="1"/>
        </w:rPr>
        <w:t xml:space="preserve">7.2 </w:t>
      </w:r>
      <w:r>
        <w:rPr>
          <w:rFonts w:hint="eastAsia" w:ascii="宋体" w:hAnsi="宋体" w:cs="宋体"/>
          <w:kern w:val="1"/>
        </w:rPr>
        <w:t>从响应文件递交截止时间起到确定中选供应商日止，供应商不得与参加磋商、评审的有关人员私下接触。在评审过程中，如果供应商试图在响应文件审查、澄清、比较及推荐中选供应商方面向参与评审的有关人员和采购人施加任何影响，其报价将被拒绝。</w:t>
      </w:r>
    </w:p>
    <w:p>
      <w:pPr>
        <w:adjustRightInd w:val="0"/>
        <w:snapToGrid w:val="0"/>
        <w:spacing w:line="360" w:lineRule="auto"/>
        <w:ind w:firstLine="420" w:firstLineChars="200"/>
        <w:outlineLvl w:val="1"/>
        <w:rPr>
          <w:rFonts w:asciiTheme="minorEastAsia" w:hAnsiTheme="minorEastAsia" w:eastAsiaTheme="minorEastAsia"/>
          <w:b/>
          <w:kern w:val="1"/>
          <w:szCs w:val="21"/>
        </w:rPr>
      </w:pPr>
      <w:bookmarkStart w:id="102" w:name="_Toc507608763"/>
      <w:r>
        <w:rPr>
          <w:rFonts w:hint="eastAsia" w:asciiTheme="minorEastAsia" w:hAnsiTheme="minorEastAsia" w:eastAsiaTheme="minorEastAsia"/>
          <w:b/>
          <w:kern w:val="1"/>
          <w:szCs w:val="21"/>
        </w:rPr>
        <w:t>八、拒绝报价响应的权利</w:t>
      </w:r>
      <w:bookmarkEnd w:id="102"/>
    </w:p>
    <w:p>
      <w:pPr>
        <w:spacing w:line="360" w:lineRule="auto"/>
        <w:ind w:firstLine="420" w:firstLineChars="200"/>
        <w:rPr>
          <w:rFonts w:ascii="宋体" w:hAnsi="宋体" w:cs="宋体"/>
          <w:kern w:val="1"/>
        </w:rPr>
      </w:pPr>
      <w:r>
        <w:rPr>
          <w:rFonts w:ascii="宋体" w:hAnsi="宋体" w:cs="宋体"/>
          <w:kern w:val="1"/>
        </w:rPr>
        <w:t>8.</w:t>
      </w:r>
      <w:r>
        <w:rPr>
          <w:rFonts w:hint="eastAsia" w:ascii="宋体" w:hAnsi="宋体" w:cs="宋体"/>
          <w:kern w:val="1"/>
        </w:rPr>
        <w:t>接受和拒绝任何或所有报价的权利。</w:t>
      </w:r>
    </w:p>
    <w:p>
      <w:pPr>
        <w:spacing w:line="360" w:lineRule="auto"/>
        <w:ind w:firstLine="420" w:firstLineChars="200"/>
        <w:rPr>
          <w:rFonts w:ascii="宋体" w:hAnsi="宋体" w:cs="宋体"/>
          <w:kern w:val="0"/>
          <w:szCs w:val="22"/>
        </w:rPr>
      </w:pPr>
      <w:r>
        <w:rPr>
          <w:rFonts w:ascii="宋体" w:hAnsi="宋体" w:cs="宋体"/>
          <w:kern w:val="0"/>
          <w:szCs w:val="22"/>
        </w:rPr>
        <w:t>8.1</w:t>
      </w:r>
      <w:r>
        <w:rPr>
          <w:rFonts w:hint="eastAsia" w:ascii="宋体" w:hAnsi="宋体" w:cs="宋体"/>
          <w:kern w:val="0"/>
          <w:szCs w:val="22"/>
        </w:rPr>
        <w:t>采购人</w:t>
      </w:r>
      <w:r>
        <w:rPr>
          <w:rFonts w:hint="eastAsia" w:ascii="Calibri" w:hAnsi="Calibri"/>
          <w:kern w:val="0"/>
          <w:szCs w:val="22"/>
        </w:rPr>
        <w:t>通过法定或规定的程序，</w:t>
      </w:r>
      <w:r>
        <w:rPr>
          <w:rFonts w:hint="eastAsia" w:ascii="宋体" w:hAnsi="宋体" w:cs="宋体"/>
          <w:kern w:val="0"/>
          <w:szCs w:val="22"/>
        </w:rPr>
        <w:t>保留在确定中选供应商之前任何时候接受或拒绝任何报价，以及宣布竞争性磋商无效或拒绝所有报价的权力，对受影响的供应商不承担任何责任。</w:t>
      </w:r>
    </w:p>
    <w:p>
      <w:pPr>
        <w:spacing w:line="360" w:lineRule="auto"/>
        <w:ind w:firstLine="420" w:firstLineChars="200"/>
        <w:rPr>
          <w:rFonts w:ascii="Calibri" w:hAnsi="Calibri"/>
          <w:kern w:val="0"/>
          <w:szCs w:val="22"/>
        </w:rPr>
      </w:pPr>
      <w:r>
        <w:rPr>
          <w:rFonts w:ascii="宋体" w:hAnsi="宋体" w:cs="宋体"/>
          <w:kern w:val="0"/>
          <w:szCs w:val="22"/>
        </w:rPr>
        <w:t xml:space="preserve">8.2 </w:t>
      </w:r>
      <w:r>
        <w:rPr>
          <w:rFonts w:hint="eastAsia" w:ascii="Calibri" w:hAnsi="Calibri"/>
          <w:kern w:val="0"/>
          <w:szCs w:val="22"/>
        </w:rPr>
        <w:t>项目评审委员会经评审，认为所有报价都不符合磋商文件要求的，可以否决所有报价。</w:t>
      </w:r>
    </w:p>
    <w:p>
      <w:pPr>
        <w:widowControl/>
        <w:jc w:val="left"/>
        <w:rPr>
          <w:rFonts w:ascii="Calibri" w:hAnsi="Calibri"/>
          <w:kern w:val="0"/>
          <w:szCs w:val="22"/>
        </w:rPr>
      </w:pPr>
      <w:r>
        <w:rPr>
          <w:rFonts w:ascii="Calibri" w:hAnsi="Calibri"/>
          <w:kern w:val="0"/>
          <w:szCs w:val="22"/>
        </w:rPr>
        <w:br w:type="page"/>
      </w:r>
    </w:p>
    <w:p>
      <w:pPr>
        <w:spacing w:line="360" w:lineRule="auto"/>
        <w:rPr>
          <w:rFonts w:ascii="宋体" w:hAnsi="宋体"/>
          <w:szCs w:val="21"/>
        </w:rPr>
      </w:pPr>
      <w:r>
        <w:rPr>
          <w:rFonts w:hint="eastAsia" w:ascii="宋体" w:hAnsi="宋体"/>
          <w:szCs w:val="21"/>
        </w:rPr>
        <w:t>（注：下附表</w:t>
      </w:r>
      <w:r>
        <w:rPr>
          <w:rFonts w:ascii="宋体" w:hAnsi="宋体"/>
          <w:szCs w:val="21"/>
        </w:rPr>
        <w:t>1-3不需要供应商填写）</w:t>
      </w:r>
    </w:p>
    <w:p>
      <w:pPr>
        <w:adjustRightInd w:val="0"/>
        <w:snapToGrid w:val="0"/>
        <w:spacing w:line="360" w:lineRule="auto"/>
        <w:outlineLvl w:val="1"/>
        <w:rPr>
          <w:rFonts w:asciiTheme="minorEastAsia" w:hAnsiTheme="minorEastAsia" w:eastAsiaTheme="minorEastAsia"/>
          <w:b/>
          <w:kern w:val="1"/>
          <w:szCs w:val="21"/>
        </w:rPr>
      </w:pPr>
      <w:bookmarkStart w:id="103" w:name="_Toc507608764"/>
      <w:r>
        <w:rPr>
          <w:rFonts w:hint="eastAsia" w:asciiTheme="minorEastAsia" w:hAnsiTheme="minorEastAsia" w:eastAsiaTheme="minorEastAsia"/>
          <w:b/>
          <w:kern w:val="1"/>
          <w:szCs w:val="21"/>
        </w:rPr>
        <w:t>附表</w:t>
      </w:r>
      <w:r>
        <w:rPr>
          <w:rFonts w:asciiTheme="minorEastAsia" w:hAnsiTheme="minorEastAsia" w:eastAsiaTheme="minorEastAsia"/>
          <w:b/>
          <w:kern w:val="1"/>
          <w:szCs w:val="21"/>
        </w:rPr>
        <w:t>1：初步评审表</w:t>
      </w:r>
      <w:bookmarkEnd w:id="103"/>
    </w:p>
    <w:p>
      <w:pPr>
        <w:spacing w:line="360" w:lineRule="auto"/>
        <w:rPr>
          <w:rFonts w:ascii="宋体"/>
          <w:szCs w:val="21"/>
        </w:rPr>
      </w:pPr>
      <w:r>
        <w:rPr>
          <w:rFonts w:hint="eastAsia" w:ascii="宋体" w:hAnsi="宋体"/>
          <w:szCs w:val="21"/>
        </w:rPr>
        <w:t>项目编号：   项目名称：</w:t>
      </w:r>
    </w:p>
    <w:tbl>
      <w:tblPr>
        <w:tblStyle w:val="74"/>
        <w:tblW w:w="95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968"/>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9" w:hRule="exact"/>
          <w:tblHeader/>
        </w:trPr>
        <w:tc>
          <w:tcPr>
            <w:tcW w:w="640" w:type="dxa"/>
            <w:vAlign w:val="center"/>
          </w:tcPr>
          <w:p>
            <w:pPr>
              <w:jc w:val="center"/>
              <w:rPr>
                <w:rFonts w:ascii="宋体"/>
                <w:b/>
                <w:szCs w:val="21"/>
              </w:rPr>
            </w:pPr>
            <w:r>
              <w:rPr>
                <w:rFonts w:hint="eastAsia" w:ascii="宋体" w:hAnsi="宋体"/>
                <w:b/>
                <w:szCs w:val="21"/>
              </w:rPr>
              <w:t>序号</w:t>
            </w:r>
          </w:p>
        </w:tc>
        <w:tc>
          <w:tcPr>
            <w:tcW w:w="4968" w:type="dxa"/>
            <w:tcBorders>
              <w:tl2br w:val="single" w:color="auto" w:sz="4" w:space="0"/>
            </w:tcBorders>
            <w:vAlign w:val="center"/>
          </w:tcPr>
          <w:p>
            <w:pPr>
              <w:jc w:val="right"/>
              <w:rPr>
                <w:rFonts w:ascii="宋体"/>
                <w:b/>
                <w:szCs w:val="21"/>
              </w:rPr>
            </w:pPr>
            <w:r>
              <w:rPr>
                <w:rFonts w:hint="eastAsia" w:ascii="宋体" w:hAnsi="宋体"/>
                <w:b/>
                <w:szCs w:val="21"/>
              </w:rPr>
              <w:t>供应商</w:t>
            </w:r>
          </w:p>
          <w:p>
            <w:pPr>
              <w:rPr>
                <w:rFonts w:ascii="宋体"/>
              </w:rPr>
            </w:pPr>
            <w:r>
              <w:rPr>
                <w:rFonts w:hint="eastAsia" w:ascii="宋体" w:hAnsi="宋体"/>
                <w:b/>
                <w:szCs w:val="21"/>
              </w:rPr>
              <w:t>响应有效性审查项</w:t>
            </w:r>
          </w:p>
        </w:tc>
        <w:tc>
          <w:tcPr>
            <w:tcW w:w="995" w:type="dxa"/>
            <w:vAlign w:val="center"/>
          </w:tcPr>
          <w:p>
            <w:pPr>
              <w:jc w:val="center"/>
              <w:rPr>
                <w:rFonts w:ascii="宋体"/>
              </w:rPr>
            </w:pPr>
            <w:r>
              <w:rPr>
                <w:rFonts w:ascii="宋体" w:hAnsi="宋体"/>
              </w:rPr>
              <w:t>A</w:t>
            </w:r>
            <w:r>
              <w:rPr>
                <w:rFonts w:hint="eastAsia" w:ascii="宋体" w:hAnsi="宋体"/>
              </w:rPr>
              <w:t>供应商</w:t>
            </w:r>
          </w:p>
        </w:tc>
        <w:tc>
          <w:tcPr>
            <w:tcW w:w="995" w:type="dxa"/>
            <w:vAlign w:val="center"/>
          </w:tcPr>
          <w:p>
            <w:pPr>
              <w:jc w:val="center"/>
              <w:rPr>
                <w:rFonts w:ascii="宋体"/>
              </w:rPr>
            </w:pPr>
            <w:r>
              <w:rPr>
                <w:rFonts w:ascii="宋体" w:hAnsi="宋体"/>
              </w:rPr>
              <w:t>B</w:t>
            </w:r>
            <w:r>
              <w:rPr>
                <w:rFonts w:hint="eastAsia" w:ascii="宋体" w:hAnsi="宋体"/>
              </w:rPr>
              <w:t>供应商</w:t>
            </w:r>
          </w:p>
        </w:tc>
        <w:tc>
          <w:tcPr>
            <w:tcW w:w="995" w:type="dxa"/>
            <w:vAlign w:val="center"/>
          </w:tcPr>
          <w:p>
            <w:pPr>
              <w:tabs>
                <w:tab w:val="left" w:pos="8640"/>
              </w:tabs>
              <w:jc w:val="center"/>
              <w:rPr>
                <w:rFonts w:ascii="宋体"/>
              </w:rPr>
            </w:pPr>
            <w:r>
              <w:rPr>
                <w:rFonts w:ascii="宋体" w:hAnsi="宋体"/>
              </w:rPr>
              <w:t>C</w:t>
            </w:r>
            <w:r>
              <w:rPr>
                <w:rFonts w:hint="eastAsia" w:ascii="宋体" w:hAnsi="宋体"/>
              </w:rPr>
              <w:t>供应商</w:t>
            </w:r>
          </w:p>
        </w:tc>
        <w:tc>
          <w:tcPr>
            <w:tcW w:w="992" w:type="dxa"/>
            <w:vAlign w:val="center"/>
          </w:tcPr>
          <w:p>
            <w:pPr>
              <w:jc w:val="center"/>
              <w:rPr>
                <w:rFonts w:ascii="宋体"/>
              </w:rPr>
            </w:pPr>
            <w:r>
              <w:rPr>
                <w:rFonts w:ascii="宋体" w:hAnsi="宋体"/>
              </w:rPr>
              <w:t>D</w:t>
            </w:r>
            <w:r>
              <w:rPr>
                <w:rFonts w:hint="eastAsia" w:ascii="宋体" w:hAnsi="宋体"/>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pPr>
            <w:r>
              <w:rPr>
                <w:rFonts w:hint="eastAsia"/>
                <w:sz w:val="18"/>
                <w:szCs w:val="18"/>
              </w:rPr>
              <w:t>报价函及报价有效期符合要求</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 w:val="18"/>
                <w:szCs w:val="18"/>
              </w:rPr>
            </w:pPr>
            <w:r>
              <w:rPr>
                <w:rFonts w:hint="eastAsia"/>
                <w:sz w:val="18"/>
                <w:szCs w:val="18"/>
              </w:rPr>
              <w:t>按磋商文件规定加盖公章和签署</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pPr>
            <w:r>
              <w:rPr>
                <w:rFonts w:hint="eastAsia"/>
                <w:sz w:val="18"/>
                <w:szCs w:val="18"/>
              </w:rPr>
              <w:t>已提交法定代表人</w:t>
            </w:r>
            <w:r>
              <w:rPr>
                <w:sz w:val="18"/>
                <w:szCs w:val="18"/>
              </w:rPr>
              <w:t>/</w:t>
            </w:r>
            <w:r>
              <w:rPr>
                <w:rFonts w:hint="eastAsia"/>
                <w:sz w:val="18"/>
                <w:szCs w:val="18"/>
              </w:rPr>
              <w:t>负责人资格证明书及授权委托书</w:t>
            </w:r>
          </w:p>
        </w:tc>
        <w:tc>
          <w:tcPr>
            <w:tcW w:w="995" w:type="dxa"/>
          </w:tcPr>
          <w:p>
            <w:pPr>
              <w:tabs>
                <w:tab w:val="left" w:pos="686"/>
                <w:tab w:val="left" w:pos="1030"/>
              </w:tabs>
              <w:spacing w:before="40" w:after="40"/>
              <w:rPr>
                <w:rFonts w:ascii="宋体" w:hAnsi="宋体"/>
                <w:sz w:val="24"/>
                <w:szCs w:val="21"/>
              </w:rPr>
            </w:pPr>
          </w:p>
        </w:tc>
        <w:tc>
          <w:tcPr>
            <w:tcW w:w="995" w:type="dxa"/>
            <w:vAlign w:val="center"/>
          </w:tcPr>
          <w:p>
            <w:pPr>
              <w:spacing w:before="40" w:after="40"/>
              <w:rPr>
                <w:rFonts w:ascii="宋体"/>
                <w:szCs w:val="21"/>
              </w:rPr>
            </w:pPr>
          </w:p>
        </w:tc>
        <w:tc>
          <w:tcPr>
            <w:tcW w:w="995" w:type="dxa"/>
            <w:vAlign w:val="center"/>
          </w:tcPr>
          <w:p>
            <w:pPr>
              <w:spacing w:before="40" w:after="40"/>
              <w:rPr>
                <w:rFonts w:ascii="宋体"/>
                <w:szCs w:val="21"/>
              </w:rPr>
            </w:pPr>
          </w:p>
        </w:tc>
        <w:tc>
          <w:tcPr>
            <w:tcW w:w="992" w:type="dxa"/>
            <w:vAlign w:val="center"/>
          </w:tcPr>
          <w:p>
            <w:pPr>
              <w:spacing w:before="40" w:after="4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Cs w:val="21"/>
              </w:rPr>
            </w:pPr>
            <w:r>
              <w:rPr>
                <w:rFonts w:hint="eastAsia"/>
                <w:sz w:val="18"/>
                <w:szCs w:val="18"/>
              </w:rPr>
              <w:t>磋商保证金符合要求</w:t>
            </w:r>
          </w:p>
        </w:tc>
        <w:tc>
          <w:tcPr>
            <w:tcW w:w="995" w:type="dxa"/>
          </w:tcPr>
          <w:p>
            <w:pPr>
              <w:tabs>
                <w:tab w:val="left" w:pos="686"/>
                <w:tab w:val="left" w:pos="1030"/>
              </w:tabs>
              <w:spacing w:before="40" w:after="40"/>
              <w:rPr>
                <w:rFonts w:ascii="宋体"/>
                <w:szCs w:val="21"/>
              </w:rPr>
            </w:pPr>
          </w:p>
        </w:tc>
        <w:tc>
          <w:tcPr>
            <w:tcW w:w="995" w:type="dxa"/>
            <w:vAlign w:val="center"/>
          </w:tcPr>
          <w:p>
            <w:pPr>
              <w:spacing w:before="40" w:after="40"/>
              <w:rPr>
                <w:rFonts w:ascii="宋体"/>
                <w:szCs w:val="21"/>
              </w:rPr>
            </w:pPr>
          </w:p>
        </w:tc>
        <w:tc>
          <w:tcPr>
            <w:tcW w:w="995" w:type="dxa"/>
            <w:vAlign w:val="center"/>
          </w:tcPr>
          <w:p>
            <w:pPr>
              <w:spacing w:before="40" w:after="40"/>
              <w:rPr>
                <w:rFonts w:ascii="宋体"/>
                <w:szCs w:val="21"/>
              </w:rPr>
            </w:pPr>
          </w:p>
        </w:tc>
        <w:tc>
          <w:tcPr>
            <w:tcW w:w="992" w:type="dxa"/>
            <w:vAlign w:val="center"/>
          </w:tcPr>
          <w:p>
            <w:pPr>
              <w:spacing w:before="40" w:after="4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7"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 w:val="18"/>
                <w:szCs w:val="18"/>
              </w:rPr>
            </w:pPr>
            <w:r>
              <w:rPr>
                <w:rFonts w:hint="eastAsia"/>
                <w:sz w:val="18"/>
                <w:szCs w:val="18"/>
              </w:rPr>
              <w:t>符合本项目采购公告列示的供应商资格条件要求</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 w:val="18"/>
                <w:szCs w:val="18"/>
              </w:rPr>
            </w:pPr>
            <w:r>
              <w:rPr>
                <w:rFonts w:hint="eastAsia"/>
                <w:sz w:val="18"/>
                <w:szCs w:val="18"/>
              </w:rPr>
              <w:t>响应文件主要资料齐全</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Cs w:val="21"/>
              </w:rPr>
            </w:pPr>
            <w:r>
              <w:rPr>
                <w:rFonts w:hint="eastAsia"/>
                <w:sz w:val="18"/>
                <w:szCs w:val="18"/>
              </w:rPr>
              <w:t>按规定格式填写，无关键内容不全或关键字迹模糊、无法辨认</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tabs>
                <w:tab w:val="left" w:pos="2880"/>
              </w:tabs>
              <w:ind w:left="40" w:leftChars="19"/>
            </w:pPr>
            <w:r>
              <w:rPr>
                <w:rFonts w:hint="eastAsia"/>
                <w:sz w:val="18"/>
                <w:szCs w:val="18"/>
              </w:rPr>
              <w:t>供应商无递交两份或多份内容不同的响应文件，或在一份响应文件中对同一采购服务有两个或多个报价，且未声明哪个为最终报价的（磋商文件规定提交备选报价方案的除外）</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tabs>
                <w:tab w:val="left" w:pos="2880"/>
              </w:tabs>
              <w:ind w:left="40" w:leftChars="19"/>
              <w:rPr>
                <w:sz w:val="18"/>
                <w:szCs w:val="18"/>
              </w:rPr>
            </w:pPr>
            <w:r>
              <w:rPr>
                <w:rFonts w:hint="eastAsia"/>
                <w:sz w:val="18"/>
                <w:szCs w:val="18"/>
              </w:rPr>
              <w:t>报价的价格是固定价且未超过本项目设定的最高报价限价（如有限价要求），也未有因报价明显低于其他响应供应商报价且未能说明其报价合理性被认定低于成本的情形</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sz w:val="18"/>
                <w:szCs w:val="18"/>
              </w:rPr>
            </w:pPr>
            <w:r>
              <w:rPr>
                <w:rFonts w:hint="eastAsia"/>
                <w:sz w:val="18"/>
                <w:szCs w:val="18"/>
              </w:rPr>
              <w:t>报价无重大漏项或重大不合理</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rFonts w:ascii="宋体" w:hAnsi="宋体"/>
                <w:sz w:val="18"/>
                <w:szCs w:val="18"/>
              </w:rPr>
            </w:pPr>
            <w:r>
              <w:rPr>
                <w:rFonts w:hint="eastAsia" w:ascii="宋体" w:hAnsi="宋体"/>
                <w:sz w:val="18"/>
                <w:szCs w:val="18"/>
              </w:rPr>
              <w:t>联合体报价附联合体共同报价协议书（如有允许联合体报价）</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rFonts w:ascii="宋体" w:hAnsi="宋体"/>
                <w:sz w:val="18"/>
                <w:szCs w:val="18"/>
              </w:rPr>
            </w:pPr>
            <w:r>
              <w:rPr>
                <w:rFonts w:hint="eastAsia" w:ascii="宋体" w:hAnsi="宋体"/>
                <w:sz w:val="18"/>
                <w:szCs w:val="18"/>
              </w:rPr>
              <w:t>实质性响应，★条款满足磋商文件要求</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rFonts w:ascii="宋体" w:hAnsi="宋体"/>
                <w:sz w:val="18"/>
                <w:szCs w:val="18"/>
              </w:rPr>
            </w:pPr>
            <w:r>
              <w:rPr>
                <w:rFonts w:hint="eastAsia" w:ascii="宋体" w:hAnsi="宋体"/>
                <w:sz w:val="18"/>
                <w:szCs w:val="18"/>
              </w:rPr>
              <w:t>无磋商文件或法规明确规定可以废标的其他情形</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40" w:type="dxa"/>
            <w:vAlign w:val="center"/>
          </w:tcPr>
          <w:p>
            <w:pPr>
              <w:widowControl/>
              <w:numPr>
                <w:ilvl w:val="0"/>
                <w:numId w:val="7"/>
              </w:numPr>
              <w:spacing w:before="40" w:after="40"/>
              <w:jc w:val="center"/>
              <w:rPr>
                <w:rFonts w:ascii="宋体"/>
                <w:szCs w:val="21"/>
              </w:rPr>
            </w:pPr>
          </w:p>
        </w:tc>
        <w:tc>
          <w:tcPr>
            <w:tcW w:w="4968" w:type="dxa"/>
            <w:vAlign w:val="center"/>
          </w:tcPr>
          <w:p>
            <w:pPr>
              <w:ind w:left="40" w:leftChars="19"/>
              <w:rPr>
                <w:rFonts w:ascii="宋体" w:hAnsi="宋体"/>
                <w:sz w:val="18"/>
                <w:szCs w:val="18"/>
              </w:rPr>
            </w:pPr>
            <w:r>
              <w:rPr>
                <w:rFonts w:hint="eastAsia" w:ascii="宋体" w:hAnsi="宋体"/>
                <w:sz w:val="18"/>
                <w:szCs w:val="18"/>
              </w:rPr>
              <w:t>供应商最终报价是否低于前面轮次磋商报价，如高于的话，是否合理</w:t>
            </w:r>
          </w:p>
        </w:tc>
        <w:tc>
          <w:tcPr>
            <w:tcW w:w="995" w:type="dxa"/>
          </w:tcPr>
          <w:p>
            <w:pPr>
              <w:tabs>
                <w:tab w:val="left" w:pos="686"/>
                <w:tab w:val="left" w:pos="1030"/>
              </w:tabs>
              <w:spacing w:before="40" w:after="40"/>
              <w:rPr>
                <w:rFonts w:ascii="宋体"/>
              </w:rPr>
            </w:pPr>
          </w:p>
        </w:tc>
        <w:tc>
          <w:tcPr>
            <w:tcW w:w="995" w:type="dxa"/>
            <w:vAlign w:val="center"/>
          </w:tcPr>
          <w:p>
            <w:pPr>
              <w:spacing w:before="40" w:after="40"/>
              <w:rPr>
                <w:rFonts w:ascii="宋体"/>
                <w:b/>
                <w:szCs w:val="21"/>
              </w:rPr>
            </w:pPr>
          </w:p>
        </w:tc>
        <w:tc>
          <w:tcPr>
            <w:tcW w:w="995" w:type="dxa"/>
            <w:vAlign w:val="center"/>
          </w:tcPr>
          <w:p>
            <w:pPr>
              <w:spacing w:before="40" w:after="40"/>
              <w:rPr>
                <w:rFonts w:ascii="宋体"/>
                <w:b/>
                <w:szCs w:val="21"/>
              </w:rPr>
            </w:pPr>
          </w:p>
        </w:tc>
        <w:tc>
          <w:tcPr>
            <w:tcW w:w="992" w:type="dxa"/>
            <w:vAlign w:val="center"/>
          </w:tcPr>
          <w:p>
            <w:pPr>
              <w:spacing w:before="40" w:after="4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608" w:type="dxa"/>
            <w:gridSpan w:val="2"/>
            <w:vAlign w:val="center"/>
          </w:tcPr>
          <w:p>
            <w:pPr>
              <w:spacing w:before="40" w:after="40" w:line="360" w:lineRule="auto"/>
              <w:jc w:val="center"/>
              <w:rPr>
                <w:rFonts w:ascii="宋体"/>
                <w:b/>
                <w:szCs w:val="21"/>
              </w:rPr>
            </w:pPr>
            <w:r>
              <w:rPr>
                <w:rFonts w:hint="eastAsia" w:ascii="宋体" w:hAnsi="宋体"/>
                <w:b/>
                <w:szCs w:val="21"/>
              </w:rPr>
              <w:t>结论</w:t>
            </w:r>
          </w:p>
        </w:tc>
        <w:tc>
          <w:tcPr>
            <w:tcW w:w="995" w:type="dxa"/>
            <w:vAlign w:val="center"/>
          </w:tcPr>
          <w:p>
            <w:pPr>
              <w:ind w:left="40" w:leftChars="19"/>
            </w:pPr>
          </w:p>
        </w:tc>
        <w:tc>
          <w:tcPr>
            <w:tcW w:w="995" w:type="dxa"/>
            <w:vAlign w:val="center"/>
          </w:tcPr>
          <w:p>
            <w:pPr>
              <w:spacing w:before="40" w:after="40" w:line="360" w:lineRule="auto"/>
              <w:rPr>
                <w:rFonts w:ascii="宋体"/>
                <w:b/>
                <w:szCs w:val="21"/>
              </w:rPr>
            </w:pPr>
          </w:p>
        </w:tc>
        <w:tc>
          <w:tcPr>
            <w:tcW w:w="995" w:type="dxa"/>
            <w:vAlign w:val="center"/>
          </w:tcPr>
          <w:p>
            <w:pPr>
              <w:spacing w:before="40" w:after="40" w:line="360" w:lineRule="auto"/>
              <w:rPr>
                <w:rFonts w:ascii="宋体"/>
                <w:b/>
                <w:szCs w:val="21"/>
              </w:rPr>
            </w:pPr>
          </w:p>
        </w:tc>
        <w:tc>
          <w:tcPr>
            <w:tcW w:w="992" w:type="dxa"/>
            <w:vAlign w:val="center"/>
          </w:tcPr>
          <w:p>
            <w:pPr>
              <w:spacing w:before="40" w:after="40" w:line="360" w:lineRule="auto"/>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2" w:hRule="atLeast"/>
        </w:trPr>
        <w:tc>
          <w:tcPr>
            <w:tcW w:w="9585" w:type="dxa"/>
            <w:gridSpan w:val="6"/>
            <w:vAlign w:val="center"/>
          </w:tcPr>
          <w:p>
            <w:pPr>
              <w:ind w:left="40" w:leftChars="19"/>
              <w:rPr>
                <w:szCs w:val="21"/>
              </w:rPr>
            </w:pPr>
            <w:r>
              <w:rPr>
                <w:rFonts w:hint="eastAsia" w:ascii="宋体" w:hAnsi="宋体"/>
                <w:b/>
                <w:szCs w:val="21"/>
              </w:rPr>
              <w:t>不通过原因说明：</w:t>
            </w:r>
          </w:p>
        </w:tc>
      </w:tr>
    </w:tbl>
    <w:p>
      <w:pPr>
        <w:widowControl/>
        <w:jc w:val="left"/>
        <w:rPr>
          <w:b/>
        </w:rPr>
      </w:pPr>
      <w:r>
        <w:rPr>
          <w:rFonts w:hint="eastAsia"/>
          <w:b/>
        </w:rPr>
        <w:t>全体评委签名：日期：</w:t>
      </w:r>
    </w:p>
    <w:p>
      <w:pPr>
        <w:spacing w:before="120" w:line="360" w:lineRule="auto"/>
        <w:rPr>
          <w:rFonts w:ascii="宋体" w:hAnsi="宋体"/>
          <w:szCs w:val="21"/>
        </w:rPr>
      </w:pPr>
      <w:r>
        <w:rPr>
          <w:rFonts w:hint="eastAsia" w:ascii="宋体" w:hAnsi="宋体"/>
          <w:szCs w:val="21"/>
        </w:rPr>
        <w:t>注：</w:t>
      </w:r>
    </w:p>
    <w:p>
      <w:pPr>
        <w:spacing w:line="360" w:lineRule="auto"/>
        <w:rPr>
          <w:rFonts w:ascii="宋体"/>
          <w:szCs w:val="21"/>
        </w:rPr>
      </w:pPr>
      <w:r>
        <w:rPr>
          <w:rFonts w:ascii="宋体" w:hAnsi="宋体"/>
          <w:szCs w:val="21"/>
        </w:rPr>
        <w:t>1</w:t>
      </w:r>
      <w:r>
        <w:rPr>
          <w:rFonts w:hint="eastAsia" w:ascii="宋体" w:hAnsi="宋体"/>
          <w:szCs w:val="21"/>
        </w:rPr>
        <w:t>．评审时评委对</w:t>
      </w:r>
      <w:r>
        <w:rPr>
          <w:rFonts w:hint="eastAsia" w:ascii="宋体" w:hAnsi="宋体"/>
        </w:rPr>
        <w:t>供应商</w:t>
      </w:r>
      <w:r>
        <w:rPr>
          <w:rFonts w:hint="eastAsia" w:ascii="宋体" w:hAnsi="宋体"/>
          <w:szCs w:val="21"/>
        </w:rPr>
        <w:t>是否满足要求逐条标注评审意见，“是”标记为“√”，“否”标记为“×”；</w:t>
      </w:r>
    </w:p>
    <w:p>
      <w:pPr>
        <w:spacing w:line="360" w:lineRule="auto"/>
        <w:rPr>
          <w:rFonts w:ascii="宋体"/>
          <w:szCs w:val="21"/>
        </w:rPr>
      </w:pPr>
      <w:r>
        <w:rPr>
          <w:rFonts w:ascii="宋体" w:hAnsi="宋体"/>
          <w:szCs w:val="21"/>
        </w:rPr>
        <w:t>2</w:t>
      </w:r>
      <w:r>
        <w:rPr>
          <w:rFonts w:hint="eastAsia" w:ascii="宋体" w:hAnsi="宋体"/>
          <w:szCs w:val="21"/>
        </w:rPr>
        <w:t>．评审结论栏统一填写为“通过”或“不通过”，出现一个“×”为“不通过”；</w:t>
      </w:r>
    </w:p>
    <w:p>
      <w:pPr>
        <w:spacing w:line="300" w:lineRule="auto"/>
        <w:rPr>
          <w:rFonts w:ascii="宋体"/>
          <w:szCs w:val="21"/>
        </w:rPr>
      </w:pPr>
      <w:r>
        <w:rPr>
          <w:rFonts w:ascii="宋体" w:hAnsi="宋体"/>
          <w:szCs w:val="21"/>
        </w:rPr>
        <w:t>3</w:t>
      </w:r>
      <w:r>
        <w:rPr>
          <w:rFonts w:hint="eastAsia" w:ascii="宋体" w:hAnsi="宋体"/>
          <w:szCs w:val="21"/>
        </w:rPr>
        <w:t>．对结论为“不通过”的报价，要说明原因；</w:t>
      </w:r>
    </w:p>
    <w:p>
      <w:pPr>
        <w:spacing w:line="360" w:lineRule="auto"/>
        <w:rPr>
          <w:rFonts w:asciiTheme="minorEastAsia" w:hAnsiTheme="minorEastAsia" w:eastAsiaTheme="minorEastAsia"/>
          <w:b/>
          <w:kern w:val="1"/>
          <w:szCs w:val="21"/>
        </w:rPr>
      </w:pPr>
      <w:r>
        <w:t xml:space="preserve">4.  </w:t>
      </w:r>
      <w:r>
        <w:rPr>
          <w:rFonts w:hint="eastAsia"/>
        </w:rPr>
        <w:t>如评委有不同意见，不同意见的评委应说明理由并签名确认，不说明的视同同意评审结论。</w:t>
      </w:r>
    </w:p>
    <w:p>
      <w:pPr>
        <w:widowControl/>
        <w:jc w:val="left"/>
        <w:rPr>
          <w:b/>
        </w:rPr>
      </w:pPr>
      <w:r>
        <w:rPr>
          <w:b/>
        </w:rPr>
        <w:br w:type="page"/>
      </w:r>
    </w:p>
    <w:p>
      <w:pPr>
        <w:adjustRightInd w:val="0"/>
        <w:snapToGrid w:val="0"/>
        <w:spacing w:line="360" w:lineRule="auto"/>
        <w:outlineLvl w:val="1"/>
        <w:rPr>
          <w:rFonts w:asciiTheme="minorEastAsia" w:hAnsiTheme="minorEastAsia" w:eastAsiaTheme="minorEastAsia"/>
          <w:b/>
          <w:kern w:val="1"/>
          <w:szCs w:val="21"/>
        </w:rPr>
      </w:pPr>
      <w:bookmarkStart w:id="104" w:name="_Toc507608765"/>
      <w:r>
        <w:rPr>
          <w:rFonts w:hint="eastAsia" w:asciiTheme="minorEastAsia" w:hAnsiTheme="minorEastAsia" w:eastAsiaTheme="minorEastAsia"/>
          <w:b/>
          <w:kern w:val="1"/>
          <w:szCs w:val="21"/>
        </w:rPr>
        <w:t>附表2：评分标准表</w:t>
      </w:r>
      <w:bookmarkEnd w:id="104"/>
    </w:p>
    <w:tbl>
      <w:tblPr>
        <w:tblStyle w:val="74"/>
        <w:tblW w:w="10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80"/>
        <w:gridCol w:w="1540"/>
        <w:gridCol w:w="9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5" w:hRule="atLeast"/>
          <w:jc w:val="center"/>
        </w:trPr>
        <w:tc>
          <w:tcPr>
            <w:tcW w:w="760" w:type="dxa"/>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180" w:type="dxa"/>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评审项目</w:t>
            </w:r>
          </w:p>
        </w:tc>
        <w:tc>
          <w:tcPr>
            <w:tcW w:w="1540" w:type="dxa"/>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评审指标</w:t>
            </w:r>
          </w:p>
        </w:tc>
        <w:tc>
          <w:tcPr>
            <w:tcW w:w="960" w:type="dxa"/>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6480" w:type="dxa"/>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20"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1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价格（30%）</w:t>
            </w: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项目总报价</w:t>
            </w:r>
          </w:p>
        </w:tc>
        <w:tc>
          <w:tcPr>
            <w:tcW w:w="96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6480" w:type="dxa"/>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按照供应商对本项目的含税总报价，有效最低综合评审报价得30分</w:t>
            </w:r>
            <w:r>
              <w:rPr>
                <w:rFonts w:hint="eastAsia" w:ascii="宋体" w:hAnsi="宋体" w:cs="宋体"/>
                <w:kern w:val="0"/>
                <w:sz w:val="22"/>
                <w:szCs w:val="22"/>
              </w:rPr>
              <w:br w:type="textWrapping"/>
            </w:r>
            <w:r>
              <w:rPr>
                <w:rFonts w:hint="eastAsia" w:ascii="宋体" w:hAnsi="宋体" w:cs="宋体"/>
                <w:kern w:val="0"/>
                <w:sz w:val="22"/>
                <w:szCs w:val="22"/>
              </w:rPr>
              <w:t>报价得分=有效最低综合评审报价/供应商综合评审报价*报价权重分</w:t>
            </w:r>
            <w:r>
              <w:rPr>
                <w:rFonts w:hint="eastAsia" w:ascii="宋体" w:hAnsi="宋体" w:cs="宋体"/>
                <w:kern w:val="0"/>
                <w:sz w:val="22"/>
                <w:szCs w:val="22"/>
              </w:rPr>
              <w:br w:type="textWrapping"/>
            </w:r>
            <w:r>
              <w:rPr>
                <w:rFonts w:hint="eastAsia" w:ascii="宋体" w:hAnsi="宋体" w:cs="宋体"/>
                <w:kern w:val="0"/>
                <w:sz w:val="22"/>
                <w:szCs w:val="22"/>
              </w:rPr>
              <w:t>综合评审报价=综合报价-可抵扣税额</w:t>
            </w:r>
            <w:r>
              <w:rPr>
                <w:rFonts w:hint="eastAsia" w:ascii="宋体" w:hAnsi="宋体" w:cs="宋体"/>
                <w:kern w:val="0"/>
                <w:sz w:val="22"/>
                <w:szCs w:val="22"/>
              </w:rPr>
              <w:br w:type="textWrapping"/>
            </w:r>
            <w:r>
              <w:rPr>
                <w:rFonts w:hint="eastAsia" w:ascii="宋体" w:hAnsi="宋体" w:cs="宋体"/>
                <w:kern w:val="0"/>
                <w:sz w:val="22"/>
                <w:szCs w:val="22"/>
              </w:rPr>
              <w:t>可抵扣税额=∑[可抵扣分项含税报价/(1+分项增值税率)*分项增值税率]</w:t>
            </w:r>
            <w:r>
              <w:rPr>
                <w:rFonts w:hint="eastAsia" w:ascii="宋体" w:hAnsi="宋体" w:cs="宋体"/>
                <w:kern w:val="0"/>
                <w:sz w:val="22"/>
                <w:szCs w:val="22"/>
              </w:rPr>
              <w:br w:type="textWrapping"/>
            </w:r>
            <w:r>
              <w:rPr>
                <w:rFonts w:hint="eastAsia" w:ascii="宋体" w:hAnsi="宋体" w:cs="宋体"/>
                <w:kern w:val="0"/>
                <w:sz w:val="22"/>
                <w:szCs w:val="22"/>
              </w:rPr>
              <w:t>本项最高得30分。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2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180" w:type="dxa"/>
            <w:vMerge w:val="restart"/>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商务</w:t>
            </w:r>
            <w:r>
              <w:rPr>
                <w:rFonts w:hint="eastAsia" w:ascii="宋体" w:hAnsi="宋体" w:cs="宋体"/>
                <w:kern w:val="0"/>
                <w:sz w:val="22"/>
                <w:szCs w:val="22"/>
              </w:rPr>
              <w:br w:type="textWrapping"/>
            </w:r>
            <w:r>
              <w:rPr>
                <w:rFonts w:hint="eastAsia" w:ascii="宋体" w:hAnsi="宋体" w:cs="宋体"/>
                <w:kern w:val="0"/>
                <w:sz w:val="22"/>
                <w:szCs w:val="22"/>
              </w:rPr>
              <w:t>（40%）</w:t>
            </w: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公司实力</w:t>
            </w:r>
          </w:p>
        </w:tc>
        <w:tc>
          <w:tcPr>
            <w:tcW w:w="96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48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根据公司的资产负债率、总资产收益率、流动比率，依次考量供应商的财务及经营状况，优秀得5分、良好得3分、一般得1分、差得0分。（具备评价方式见附表2-1）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9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合同响应情况</w:t>
            </w:r>
          </w:p>
        </w:tc>
        <w:tc>
          <w:tcPr>
            <w:tcW w:w="96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480" w:type="dxa"/>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对照采购文件第四部分合同书格式，审核供应商提供的</w:t>
            </w:r>
            <w:del w:id="0" w:author="陈佩吟" w:date="2019-04-11T10:34:00Z">
              <w:r>
                <w:rPr>
                  <w:rFonts w:hint="eastAsia" w:ascii="宋体" w:hAnsi="宋体" w:cs="宋体"/>
                  <w:kern w:val="0"/>
                  <w:sz w:val="22"/>
                  <w:szCs w:val="22"/>
                </w:rPr>
                <w:delText>商务技术</w:delText>
              </w:r>
            </w:del>
            <w:ins w:id="1" w:author="陈佩吟" w:date="2019-04-11T10:34:00Z">
              <w:r>
                <w:rPr>
                  <w:rFonts w:hint="eastAsia" w:ascii="宋体" w:hAnsi="宋体" w:cs="宋体"/>
                  <w:kern w:val="0"/>
                  <w:sz w:val="22"/>
                  <w:szCs w:val="22"/>
                </w:rPr>
                <w:t>合同响应</w:t>
              </w:r>
            </w:ins>
            <w:r>
              <w:rPr>
                <w:rFonts w:hint="eastAsia" w:ascii="宋体" w:hAnsi="宋体" w:cs="宋体"/>
                <w:kern w:val="0"/>
                <w:sz w:val="22"/>
                <w:szCs w:val="22"/>
              </w:rPr>
              <w:t>差异表，完全满足合同条款要求得5分，一项负偏离扣1分，一条条款中多个差异算多项偏离，直至0分</w:t>
            </w:r>
            <w:r>
              <w:rPr>
                <w:rFonts w:hint="eastAsia" w:ascii="宋体" w:hAnsi="宋体" w:cs="宋体"/>
                <w:kern w:val="0"/>
                <w:sz w:val="22"/>
                <w:szCs w:val="22"/>
              </w:rPr>
              <w:br w:type="textWrapping"/>
            </w:r>
            <w:r>
              <w:rPr>
                <w:rFonts w:hint="eastAsia" w:ascii="宋体" w:hAnsi="宋体" w:cs="宋体"/>
                <w:kern w:val="0"/>
                <w:sz w:val="22"/>
                <w:szCs w:val="22"/>
              </w:rPr>
              <w:t>本项目最高得5分，最低得0分。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7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近三年类似项目经验</w:t>
            </w:r>
          </w:p>
        </w:tc>
        <w:tc>
          <w:tcPr>
            <w:tcW w:w="9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6480" w:type="dxa"/>
            <w:shd w:val="clear" w:color="000000" w:fill="FFFFFF"/>
            <w:vAlign w:val="center"/>
          </w:tcPr>
          <w:p>
            <w:pPr>
              <w:widowControl/>
              <w:jc w:val="left"/>
              <w:rPr>
                <w:rFonts w:ascii="宋体" w:hAnsi="宋体" w:cs="宋体"/>
                <w:kern w:val="0"/>
                <w:sz w:val="22"/>
                <w:szCs w:val="22"/>
              </w:rPr>
            </w:pPr>
            <w:del w:id="2" w:author="陈佩吟" w:date="2019-04-11T10:34:00Z">
              <w:r>
                <w:rPr>
                  <w:rFonts w:hint="eastAsia" w:ascii="宋体" w:hAnsi="宋体" w:cs="宋体"/>
                  <w:kern w:val="0"/>
                  <w:sz w:val="22"/>
                  <w:szCs w:val="22"/>
                </w:rPr>
                <w:delText>近三年（</w:delText>
              </w:r>
            </w:del>
            <w:r>
              <w:rPr>
                <w:rFonts w:hint="eastAsia" w:ascii="宋体" w:hAnsi="宋体" w:cs="宋体"/>
                <w:kern w:val="0"/>
                <w:sz w:val="22"/>
                <w:szCs w:val="22"/>
              </w:rPr>
              <w:t>2016年1月1日至今</w:t>
            </w:r>
            <w:del w:id="3" w:author="陈佩吟" w:date="2019-04-11T10:34:00Z">
              <w:r>
                <w:rPr>
                  <w:rFonts w:hint="eastAsia" w:ascii="宋体" w:hAnsi="宋体" w:cs="宋体"/>
                  <w:kern w:val="0"/>
                  <w:sz w:val="22"/>
                  <w:szCs w:val="22"/>
                </w:rPr>
                <w:delText>）</w:delText>
              </w:r>
            </w:del>
            <w:r>
              <w:rPr>
                <w:rFonts w:hint="eastAsia" w:ascii="宋体" w:hAnsi="宋体" w:cs="宋体"/>
                <w:kern w:val="0"/>
                <w:sz w:val="22"/>
                <w:szCs w:val="22"/>
              </w:rPr>
              <w:t>，类似项目业绩经验：</w:t>
            </w:r>
            <w:r>
              <w:rPr>
                <w:rFonts w:hint="eastAsia" w:ascii="宋体" w:hAnsi="宋体" w:cs="宋体"/>
                <w:kern w:val="0"/>
                <w:sz w:val="22"/>
                <w:szCs w:val="22"/>
              </w:rPr>
              <w:br w:type="textWrapping"/>
            </w:r>
            <w:r>
              <w:rPr>
                <w:rFonts w:hint="eastAsia" w:ascii="宋体" w:hAnsi="宋体" w:cs="宋体"/>
                <w:kern w:val="0"/>
                <w:sz w:val="22"/>
                <w:szCs w:val="22"/>
              </w:rPr>
              <w:t>1.每具备一个国有五大银行或全国性股份制银行总行级别的舆情监测案例得</w:t>
            </w:r>
            <w:r>
              <w:rPr>
                <w:rFonts w:hint="eastAsia" w:ascii="宋体" w:hAnsi="宋体" w:cs="宋体"/>
                <w:color w:val="000000"/>
                <w:kern w:val="0"/>
                <w:sz w:val="22"/>
                <w:szCs w:val="22"/>
              </w:rPr>
              <w:t>3分</w:t>
            </w:r>
            <w:r>
              <w:rPr>
                <w:rFonts w:hint="eastAsia" w:ascii="宋体" w:hAnsi="宋体" w:cs="宋体"/>
                <w:kern w:val="0"/>
                <w:sz w:val="22"/>
                <w:szCs w:val="22"/>
              </w:rPr>
              <w:t>，本条最高得15分。</w:t>
            </w:r>
            <w:r>
              <w:rPr>
                <w:rFonts w:hint="eastAsia" w:ascii="宋体" w:hAnsi="宋体" w:cs="宋体"/>
                <w:kern w:val="0"/>
                <w:sz w:val="22"/>
                <w:szCs w:val="22"/>
              </w:rPr>
              <w:br w:type="textWrapping"/>
            </w:r>
            <w:r>
              <w:rPr>
                <w:rFonts w:hint="eastAsia" w:ascii="宋体" w:hAnsi="宋体" w:cs="宋体"/>
                <w:kern w:val="0"/>
                <w:sz w:val="22"/>
                <w:szCs w:val="22"/>
              </w:rPr>
              <w:t>2.每具备一个国有五大银行或全国性股份制银行总行专营机构（如总行信用卡中心）的舆情监测案例得</w:t>
            </w:r>
            <w:r>
              <w:rPr>
                <w:rFonts w:hint="eastAsia" w:ascii="宋体" w:hAnsi="宋体" w:cs="宋体"/>
                <w:color w:val="000000"/>
                <w:kern w:val="0"/>
                <w:sz w:val="22"/>
                <w:szCs w:val="22"/>
              </w:rPr>
              <w:t>2分</w:t>
            </w:r>
            <w:r>
              <w:rPr>
                <w:rFonts w:hint="eastAsia" w:ascii="宋体" w:hAnsi="宋体" w:cs="宋体"/>
                <w:kern w:val="0"/>
                <w:sz w:val="22"/>
                <w:szCs w:val="22"/>
              </w:rPr>
              <w:t>，本条最高得10分。</w:t>
            </w:r>
            <w:r>
              <w:rPr>
                <w:rFonts w:hint="eastAsia" w:ascii="宋体" w:hAnsi="宋体" w:cs="宋体"/>
                <w:kern w:val="0"/>
                <w:sz w:val="22"/>
                <w:szCs w:val="22"/>
              </w:rPr>
              <w:br w:type="textWrapping"/>
            </w:r>
            <w:r>
              <w:rPr>
                <w:rFonts w:hint="eastAsia" w:ascii="宋体" w:hAnsi="宋体" w:cs="宋体"/>
                <w:kern w:val="0"/>
                <w:sz w:val="22"/>
                <w:szCs w:val="22"/>
              </w:rPr>
              <w:t>以有效合同份数计，</w:t>
            </w:r>
            <w:del w:id="4" w:author="陈佩吟" w:date="2019-04-11T10:35:00Z">
              <w:r>
                <w:rPr>
                  <w:rFonts w:hint="eastAsia" w:ascii="宋体" w:hAnsi="宋体" w:cs="宋体"/>
                  <w:kern w:val="0"/>
                  <w:sz w:val="22"/>
                  <w:szCs w:val="22"/>
                </w:rPr>
                <w:delText>上述2点可独立得分至满分、</w:delText>
              </w:r>
            </w:del>
            <w:r>
              <w:rPr>
                <w:rFonts w:hint="eastAsia" w:ascii="宋体" w:hAnsi="宋体" w:cs="宋体"/>
                <w:kern w:val="0"/>
                <w:sz w:val="22"/>
                <w:szCs w:val="22"/>
              </w:rPr>
              <w:t>上述2点如属于同一机构的可累计加分。</w:t>
            </w:r>
            <w:r>
              <w:rPr>
                <w:rFonts w:hint="eastAsia" w:ascii="宋体" w:hAnsi="宋体" w:cs="宋体"/>
                <w:kern w:val="0"/>
                <w:sz w:val="22"/>
                <w:szCs w:val="22"/>
              </w:rPr>
              <w:br w:type="textWrapping"/>
            </w:r>
            <w:r>
              <w:rPr>
                <w:rFonts w:hint="eastAsia" w:ascii="宋体" w:hAnsi="宋体" w:cs="宋体"/>
                <w:kern w:val="0"/>
                <w:sz w:val="22"/>
                <w:szCs w:val="22"/>
              </w:rPr>
              <w:t>本项最高得25分，最低得0分。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00"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color w:val="C00000"/>
                <w:kern w:val="0"/>
                <w:sz w:val="22"/>
                <w:szCs w:val="22"/>
                <w:rPrChange w:id="5" w:author="magic" w:date="2019-04-30T14:06:06Z">
                  <w:rPr>
                    <w:rFonts w:hint="eastAsia" w:ascii="宋体" w:hAnsi="宋体" w:cs="宋体"/>
                    <w:kern w:val="0"/>
                    <w:sz w:val="22"/>
                    <w:szCs w:val="22"/>
                  </w:rPr>
                </w:rPrChange>
              </w:rPr>
              <w:t>过往典型案例质量</w:t>
            </w:r>
          </w:p>
        </w:tc>
        <w:tc>
          <w:tcPr>
            <w:tcW w:w="9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480" w:type="dxa"/>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根据供应商介绍的过往典型案例，从案例所属行业与采购人的匹配度、案例预警手段有效性、舆情研判和分析准确度、案例处置结果等方面综合评定：</w:t>
            </w:r>
            <w:r>
              <w:rPr>
                <w:rFonts w:hint="eastAsia" w:ascii="宋体" w:hAnsi="宋体" w:cs="宋体"/>
                <w:kern w:val="0"/>
                <w:sz w:val="22"/>
                <w:szCs w:val="22"/>
              </w:rPr>
              <w:br w:type="textWrapping"/>
            </w:r>
            <w:r>
              <w:rPr>
                <w:rFonts w:hint="eastAsia" w:ascii="宋体" w:hAnsi="宋体" w:cs="宋体"/>
                <w:kern w:val="0"/>
                <w:sz w:val="22"/>
                <w:szCs w:val="22"/>
              </w:rPr>
              <w:t>优秀得5分，良好得3-4分，一般得1-2分，差得0分。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1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180" w:type="dxa"/>
            <w:vMerge w:val="restart"/>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技术</w:t>
            </w:r>
            <w:r>
              <w:rPr>
                <w:rFonts w:hint="eastAsia" w:ascii="宋体" w:hAnsi="宋体" w:cs="宋体"/>
                <w:kern w:val="0"/>
                <w:sz w:val="22"/>
                <w:szCs w:val="22"/>
              </w:rPr>
              <w:br w:type="textWrapping"/>
            </w:r>
            <w:r>
              <w:rPr>
                <w:rFonts w:hint="eastAsia" w:ascii="宋体" w:hAnsi="宋体" w:cs="宋体"/>
                <w:kern w:val="0"/>
                <w:sz w:val="22"/>
                <w:szCs w:val="22"/>
              </w:rPr>
              <w:t>（30%）</w:t>
            </w:r>
          </w:p>
        </w:tc>
        <w:tc>
          <w:tcPr>
            <w:tcW w:w="154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C00000"/>
                <w:kern w:val="0"/>
                <w:sz w:val="22"/>
                <w:szCs w:val="22"/>
                <w:rPrChange w:id="6" w:author="magic" w:date="2019-04-30T14:05:03Z">
                  <w:rPr>
                    <w:rFonts w:hint="eastAsia" w:ascii="宋体" w:hAnsi="宋体" w:cs="宋体"/>
                    <w:color w:val="000000"/>
                    <w:kern w:val="0"/>
                    <w:sz w:val="22"/>
                    <w:szCs w:val="22"/>
                  </w:rPr>
                </w:rPrChange>
              </w:rPr>
              <w:t>舆情监测报告质量</w:t>
            </w:r>
          </w:p>
        </w:tc>
        <w:tc>
          <w:tcPr>
            <w:tcW w:w="96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648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考核供应商舆情监测媒体覆盖范围是否包括全国性及地方性媒体、监测到的报道与我行相关度是否较高、是否覆盖总分行新闻等方面综合评定：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优秀得5-6分，良好得3-4分，一般得1-2分，差得0分。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0"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180" w:type="dxa"/>
            <w:vMerge w:val="continue"/>
            <w:vAlign w:val="center"/>
          </w:tcPr>
          <w:p>
            <w:pPr>
              <w:widowControl/>
              <w:jc w:val="left"/>
              <w:rPr>
                <w:rFonts w:ascii="宋体" w:hAnsi="宋体" w:cs="宋体"/>
                <w:kern w:val="0"/>
                <w:sz w:val="22"/>
                <w:szCs w:val="22"/>
              </w:rPr>
            </w:pPr>
          </w:p>
        </w:tc>
        <w:tc>
          <w:tcPr>
            <w:tcW w:w="154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C00000"/>
                <w:kern w:val="0"/>
                <w:sz w:val="22"/>
                <w:szCs w:val="22"/>
                <w:rPrChange w:id="7" w:author="magic" w:date="2019-04-30T14:05:01Z">
                  <w:rPr>
                    <w:rFonts w:hint="eastAsia" w:ascii="宋体" w:hAnsi="宋体" w:cs="宋体"/>
                    <w:color w:val="000000"/>
                    <w:kern w:val="0"/>
                    <w:sz w:val="22"/>
                    <w:szCs w:val="22"/>
                  </w:rPr>
                </w:rPrChange>
              </w:rPr>
              <w:t>舆情研判分析及同业舆情研判分析报告质量</w:t>
            </w:r>
          </w:p>
        </w:tc>
        <w:tc>
          <w:tcPr>
            <w:tcW w:w="96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648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考核供应商舆情监测媒体覆盖范围是否包括全国性及地方性媒体、监测到的报道与我行和同业相关度是否较高、对舆情的归纳和研判是否符合逻辑等方面综合评定：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优秀得5-6分，良好得3-4分，一般得1-2分，差得0分。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0"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color w:val="C00000"/>
                <w:kern w:val="0"/>
                <w:sz w:val="22"/>
                <w:szCs w:val="22"/>
                <w:rPrChange w:id="8" w:author="magic" w:date="2019-04-30T14:04:55Z">
                  <w:rPr>
                    <w:rFonts w:ascii="宋体" w:hAnsi="宋体" w:cs="宋体"/>
                    <w:color w:val="000000"/>
                    <w:kern w:val="0"/>
                    <w:sz w:val="22"/>
                    <w:szCs w:val="22"/>
                  </w:rPr>
                </w:rPrChange>
              </w:rPr>
            </w:pPr>
            <w:r>
              <w:rPr>
                <w:rFonts w:hint="eastAsia" w:ascii="宋体" w:hAnsi="宋体" w:cs="宋体"/>
                <w:color w:val="C00000"/>
                <w:kern w:val="0"/>
                <w:sz w:val="22"/>
                <w:szCs w:val="22"/>
                <w:rPrChange w:id="9" w:author="magic" w:date="2019-04-30T14:04:55Z">
                  <w:rPr>
                    <w:rFonts w:hint="eastAsia" w:ascii="宋体" w:hAnsi="宋体" w:cs="宋体"/>
                    <w:color w:val="000000"/>
                    <w:kern w:val="0"/>
                    <w:sz w:val="22"/>
                    <w:szCs w:val="22"/>
                  </w:rPr>
                </w:rPrChange>
              </w:rPr>
              <w:t>舆情管理方式</w:t>
            </w:r>
          </w:p>
        </w:tc>
        <w:tc>
          <w:tcPr>
            <w:tcW w:w="960" w:type="dxa"/>
            <w:shd w:val="clear" w:color="000000" w:fill="FFFFFF"/>
            <w:vAlign w:val="center"/>
          </w:tcPr>
          <w:p>
            <w:pPr>
              <w:widowControl/>
              <w:jc w:val="center"/>
              <w:rPr>
                <w:rFonts w:ascii="宋体" w:hAnsi="宋体" w:cs="宋体"/>
                <w:color w:val="C00000"/>
                <w:kern w:val="0"/>
                <w:sz w:val="22"/>
                <w:szCs w:val="22"/>
                <w:rPrChange w:id="10" w:author="magic" w:date="2019-04-30T14:04:55Z">
                  <w:rPr>
                    <w:rFonts w:ascii="宋体" w:hAnsi="宋体" w:cs="宋体"/>
                    <w:color w:val="000000"/>
                    <w:kern w:val="0"/>
                    <w:sz w:val="22"/>
                    <w:szCs w:val="22"/>
                  </w:rPr>
                </w:rPrChange>
              </w:rPr>
            </w:pPr>
            <w:r>
              <w:rPr>
                <w:rFonts w:hint="eastAsia" w:ascii="宋体" w:hAnsi="宋体" w:cs="宋体"/>
                <w:color w:val="C00000"/>
                <w:kern w:val="0"/>
                <w:sz w:val="22"/>
                <w:szCs w:val="22"/>
                <w:rPrChange w:id="11" w:author="magic" w:date="2019-04-30T14:04:55Z">
                  <w:rPr>
                    <w:rFonts w:hint="eastAsia" w:ascii="宋体" w:hAnsi="宋体" w:cs="宋体"/>
                    <w:color w:val="000000"/>
                    <w:kern w:val="0"/>
                    <w:sz w:val="22"/>
                    <w:szCs w:val="22"/>
                  </w:rPr>
                </w:rPrChange>
              </w:rPr>
              <w:t>3</w:t>
            </w:r>
          </w:p>
        </w:tc>
        <w:tc>
          <w:tcPr>
            <w:tcW w:w="6480" w:type="dxa"/>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考核供应商在声誉管理平台（如微信号或微信群、软件系统、app）的实用性、便利性、及时性等方面综合评定：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优秀得3分，良好得2分，一般得1分，差得0分。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8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kern w:val="0"/>
                <w:sz w:val="22"/>
                <w:szCs w:val="22"/>
              </w:rPr>
            </w:pPr>
            <w:r>
              <w:rPr>
                <w:rFonts w:hint="eastAsia" w:ascii="宋体" w:hAnsi="宋体" w:cs="宋体"/>
                <w:color w:val="C00000"/>
                <w:kern w:val="0"/>
                <w:sz w:val="22"/>
                <w:szCs w:val="22"/>
                <w:rPrChange w:id="12" w:author="magic" w:date="2019-04-30T14:05:08Z">
                  <w:rPr>
                    <w:rFonts w:hint="eastAsia" w:ascii="宋体" w:hAnsi="宋体" w:cs="宋体"/>
                    <w:kern w:val="0"/>
                    <w:sz w:val="22"/>
                    <w:szCs w:val="22"/>
                  </w:rPr>
                </w:rPrChange>
              </w:rPr>
              <w:t>考核验收要求满足度</w:t>
            </w:r>
          </w:p>
        </w:tc>
        <w:tc>
          <w:tcPr>
            <w:tcW w:w="9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10 </w:t>
            </w:r>
          </w:p>
        </w:tc>
        <w:tc>
          <w:tcPr>
            <w:tcW w:w="6480" w:type="dxa"/>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对照用户需求书第六条全部内容，审核供应商</w:t>
            </w:r>
            <w:del w:id="13" w:author="陈佩吟" w:date="2019-04-11T10:39:00Z">
              <w:r>
                <w:rPr>
                  <w:rFonts w:hint="eastAsia" w:ascii="宋体" w:hAnsi="宋体" w:cs="宋体"/>
                  <w:kern w:val="0"/>
                  <w:sz w:val="22"/>
                  <w:szCs w:val="22"/>
                </w:rPr>
                <w:delText>所提供方案</w:delText>
              </w:r>
            </w:del>
            <w:r>
              <w:rPr>
                <w:rFonts w:hint="eastAsia" w:ascii="宋体" w:hAnsi="宋体" w:cs="宋体"/>
                <w:kern w:val="0"/>
                <w:sz w:val="22"/>
                <w:szCs w:val="22"/>
              </w:rPr>
              <w:t>的响应程度，完全响应得10分，一项负偏离扣2分，一条条款中多个差异算多项偏离，直至0分。</w:t>
            </w:r>
            <w:r>
              <w:rPr>
                <w:rFonts w:hint="eastAsia" w:ascii="宋体" w:hAnsi="宋体" w:cs="宋体"/>
                <w:kern w:val="0"/>
                <w:sz w:val="22"/>
                <w:szCs w:val="22"/>
              </w:rPr>
              <w:br w:type="textWrapping"/>
            </w:r>
            <w:r>
              <w:rPr>
                <w:rFonts w:hint="eastAsia" w:ascii="宋体" w:hAnsi="宋体" w:cs="宋体"/>
                <w:kern w:val="0"/>
                <w:sz w:val="22"/>
                <w:szCs w:val="22"/>
              </w:rPr>
              <w:t>本项目最高得10分，最低得0分。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0"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180" w:type="dxa"/>
            <w:vMerge w:val="continue"/>
            <w:vAlign w:val="center"/>
          </w:tcPr>
          <w:p>
            <w:pPr>
              <w:widowControl/>
              <w:jc w:val="left"/>
              <w:rPr>
                <w:rFonts w:ascii="宋体" w:hAnsi="宋体" w:cs="宋体"/>
                <w:kern w:val="0"/>
                <w:sz w:val="22"/>
                <w:szCs w:val="22"/>
              </w:rPr>
            </w:pPr>
          </w:p>
        </w:tc>
        <w:tc>
          <w:tcPr>
            <w:tcW w:w="1540" w:type="dxa"/>
            <w:shd w:val="clear" w:color="auto" w:fill="auto"/>
            <w:vAlign w:val="center"/>
          </w:tcPr>
          <w:p>
            <w:pPr>
              <w:widowControl/>
              <w:jc w:val="left"/>
              <w:rPr>
                <w:rFonts w:ascii="宋体" w:hAnsi="宋体" w:cs="宋体"/>
                <w:kern w:val="0"/>
                <w:sz w:val="22"/>
                <w:szCs w:val="22"/>
              </w:rPr>
            </w:pPr>
            <w:del w:id="14" w:author="陈佩吟" w:date="2019-04-11T10:37:00Z">
              <w:r>
                <w:rPr>
                  <w:rFonts w:hint="eastAsia" w:ascii="宋体" w:hAnsi="宋体" w:cs="宋体"/>
                  <w:kern w:val="0"/>
                  <w:sz w:val="22"/>
                  <w:szCs w:val="22"/>
                </w:rPr>
                <w:delText>更优</w:delText>
              </w:r>
            </w:del>
            <w:r>
              <w:rPr>
                <w:rFonts w:hint="eastAsia" w:ascii="宋体" w:hAnsi="宋体" w:cs="宋体"/>
                <w:kern w:val="0"/>
                <w:sz w:val="22"/>
                <w:szCs w:val="22"/>
              </w:rPr>
              <w:t>增值服务或合理化建议</w:t>
            </w:r>
          </w:p>
        </w:tc>
        <w:tc>
          <w:tcPr>
            <w:tcW w:w="9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480" w:type="dxa"/>
            <w:shd w:val="clear" w:color="000000" w:fill="FFFFFF"/>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考核供应商对本项目所可提供的</w:t>
            </w:r>
            <w:del w:id="15" w:author="陈佩吟" w:date="2019-04-11T10:37:00Z">
              <w:r>
                <w:rPr>
                  <w:rFonts w:hint="eastAsia" w:ascii="宋体" w:hAnsi="宋体" w:cs="宋体"/>
                  <w:color w:val="000000"/>
                  <w:kern w:val="0"/>
                  <w:sz w:val="22"/>
                  <w:szCs w:val="22"/>
                </w:rPr>
                <w:delText>更优</w:delText>
              </w:r>
            </w:del>
            <w:r>
              <w:rPr>
                <w:rFonts w:hint="eastAsia" w:ascii="宋体" w:hAnsi="宋体" w:cs="宋体"/>
                <w:color w:val="000000"/>
                <w:kern w:val="0"/>
                <w:sz w:val="22"/>
                <w:szCs w:val="22"/>
              </w:rPr>
              <w:t>增值服务承诺或合理化建议，每被项目评审委员会一致采纳的（意见差异时按少数服从多数投票决定），一条得1分，没有得0分。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7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2720" w:type="dxa"/>
            <w:gridSpan w:val="2"/>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960" w:type="dxa"/>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6480" w:type="dxa"/>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widowControl/>
        <w:jc w:val="left"/>
        <w:rPr>
          <w:b/>
        </w:rPr>
      </w:pPr>
      <w:r>
        <w:rPr>
          <w:rFonts w:hint="eastAsia"/>
          <w:b/>
        </w:rPr>
        <w:t>评委签名：日期：</w:t>
      </w:r>
    </w:p>
    <w:p>
      <w:pPr>
        <w:spacing w:before="120" w:line="360" w:lineRule="auto"/>
        <w:rPr>
          <w:rFonts w:ascii="宋体" w:hAnsi="宋体"/>
          <w:szCs w:val="21"/>
        </w:rPr>
      </w:pPr>
      <w:r>
        <w:rPr>
          <w:rFonts w:hint="eastAsia" w:ascii="宋体" w:hAnsi="宋体"/>
          <w:szCs w:val="21"/>
        </w:rPr>
        <w:t>注：</w:t>
      </w:r>
    </w:p>
    <w:p>
      <w:pPr>
        <w:spacing w:before="120" w:line="360" w:lineRule="auto"/>
        <w:rPr>
          <w:rFonts w:ascii="宋体" w:hAnsi="宋体"/>
          <w:szCs w:val="21"/>
        </w:rPr>
      </w:pPr>
      <w:r>
        <w:rPr>
          <w:rFonts w:hint="eastAsia" w:ascii="宋体" w:hAnsi="宋体"/>
          <w:szCs w:val="21"/>
        </w:rPr>
        <w:t>1.评分标准表由各评委独立评审打分后签名确认；各评委评分的算术平均值即为该供应商的最终得分，得分计算结果小数点第三位四舍五入，保留至小数点后两位。</w:t>
      </w:r>
    </w:p>
    <w:p>
      <w:pPr>
        <w:adjustRightInd w:val="0"/>
        <w:snapToGrid w:val="0"/>
        <w:spacing w:line="360" w:lineRule="auto"/>
        <w:rPr>
          <w:rFonts w:ascii="宋体" w:hAnsi="宋体"/>
          <w:szCs w:val="21"/>
        </w:rPr>
      </w:pPr>
      <w:r>
        <w:rPr>
          <w:rFonts w:hint="eastAsia" w:ascii="宋体" w:hAnsi="宋体"/>
          <w:szCs w:val="21"/>
        </w:rPr>
        <w:t>2.未提供各项评审的相关内容证明文件或证明文件模糊不清（有有效期的，须在有效期内，原件备查），以致评委无法做出准确评判时，该项得分为0分。</w:t>
      </w:r>
    </w:p>
    <w:p>
      <w:pPr>
        <w:adjustRightInd w:val="0"/>
        <w:snapToGrid w:val="0"/>
        <w:spacing w:line="360" w:lineRule="auto"/>
        <w:rPr>
          <w:rFonts w:ascii="宋体" w:hAnsi="宋体"/>
          <w:szCs w:val="21"/>
        </w:rPr>
      </w:pPr>
    </w:p>
    <w:p>
      <w:pPr>
        <w:autoSpaceDE w:val="0"/>
        <w:spacing w:line="360" w:lineRule="auto"/>
        <w:rPr>
          <w:rFonts w:ascii="宋体" w:hAnsi="宋体"/>
          <w:b/>
        </w:rPr>
      </w:pPr>
      <w:r>
        <w:rPr>
          <w:rFonts w:hint="eastAsia" w:ascii="宋体" w:hAnsi="宋体"/>
          <w:b/>
        </w:rPr>
        <w:t>附表2-1：公司财务和经营状况，综合实力评价方式：</w:t>
      </w:r>
    </w:p>
    <w:p>
      <w:pPr>
        <w:widowControl/>
        <w:numPr>
          <w:ilvl w:val="0"/>
          <w:numId w:val="8"/>
        </w:numPr>
        <w:autoSpaceDE w:val="0"/>
        <w:spacing w:line="360" w:lineRule="auto"/>
        <w:rPr>
          <w:rFonts w:ascii="宋体" w:hAnsi="宋体"/>
        </w:rPr>
      </w:pPr>
      <w:r>
        <w:rPr>
          <w:rFonts w:hint="eastAsia" w:ascii="宋体" w:hAnsi="宋体"/>
        </w:rPr>
        <w:t>指标认定方式如下：</w:t>
      </w:r>
    </w:p>
    <w:tbl>
      <w:tblPr>
        <w:tblStyle w:val="74"/>
        <w:tblW w:w="10950" w:type="dxa"/>
        <w:jc w:val="center"/>
        <w:tblInd w:w="0" w:type="dxa"/>
        <w:tblLayout w:type="fixed"/>
        <w:tblCellMar>
          <w:top w:w="0" w:type="dxa"/>
          <w:left w:w="0" w:type="dxa"/>
          <w:bottom w:w="0" w:type="dxa"/>
          <w:right w:w="0" w:type="dxa"/>
        </w:tblCellMar>
      </w:tblPr>
      <w:tblGrid>
        <w:gridCol w:w="2072"/>
        <w:gridCol w:w="2671"/>
        <w:gridCol w:w="2715"/>
        <w:gridCol w:w="2221"/>
        <w:gridCol w:w="1271"/>
      </w:tblGrid>
      <w:tr>
        <w:tblPrEx>
          <w:tblLayout w:type="fixed"/>
        </w:tblPrEx>
        <w:trPr>
          <w:trHeight w:val="454" w:hRule="atLeast"/>
          <w:jc w:val="center"/>
        </w:trPr>
        <w:tc>
          <w:tcPr>
            <w:tcW w:w="20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b/>
                <w:bCs/>
                <w:color w:val="000000"/>
              </w:rPr>
              <w:t>指标</w:t>
            </w:r>
          </w:p>
        </w:tc>
        <w:tc>
          <w:tcPr>
            <w:tcW w:w="26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b/>
                <w:bCs/>
                <w:color w:val="000000"/>
              </w:rPr>
              <w:t>优秀</w:t>
            </w:r>
          </w:p>
        </w:tc>
        <w:tc>
          <w:tcPr>
            <w:tcW w:w="2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b/>
                <w:bCs/>
                <w:color w:val="000000"/>
              </w:rPr>
              <w:t>良好</w:t>
            </w:r>
          </w:p>
        </w:tc>
        <w:tc>
          <w:tcPr>
            <w:tcW w:w="22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b/>
                <w:bCs/>
                <w:color w:val="000000"/>
              </w:rPr>
              <w:t>一般</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b/>
                <w:bCs/>
                <w:color w:val="000000"/>
              </w:rPr>
              <w:t>较差</w:t>
            </w:r>
          </w:p>
        </w:tc>
      </w:tr>
      <w:tr>
        <w:tblPrEx>
          <w:tblLayout w:type="fixed"/>
        </w:tblPrEx>
        <w:trPr>
          <w:trHeight w:val="454" w:hRule="atLeast"/>
          <w:jc w:val="center"/>
        </w:trPr>
        <w:tc>
          <w:tcPr>
            <w:tcW w:w="20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资产负债率</w:t>
            </w:r>
          </w:p>
        </w:tc>
        <w:tc>
          <w:tcPr>
            <w:tcW w:w="267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≤均值，且＜70%</w:t>
            </w:r>
          </w:p>
        </w:tc>
        <w:tc>
          <w:tcPr>
            <w:tcW w:w="27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＞均值，且＜70%</w:t>
            </w:r>
          </w:p>
        </w:tc>
        <w:tc>
          <w:tcPr>
            <w:tcW w:w="222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≥70%,且&lt;80%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≥80%</w:t>
            </w:r>
          </w:p>
        </w:tc>
      </w:tr>
      <w:tr>
        <w:tblPrEx>
          <w:tblLayout w:type="fixed"/>
        </w:tblPrEx>
        <w:trPr>
          <w:trHeight w:val="454" w:hRule="atLeast"/>
          <w:jc w:val="center"/>
        </w:trPr>
        <w:tc>
          <w:tcPr>
            <w:tcW w:w="20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总资产收益率</w:t>
            </w:r>
          </w:p>
        </w:tc>
        <w:tc>
          <w:tcPr>
            <w:tcW w:w="267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≥均值，且＞6%</w:t>
            </w:r>
          </w:p>
        </w:tc>
        <w:tc>
          <w:tcPr>
            <w:tcW w:w="27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＜均值，且＞6%</w:t>
            </w:r>
          </w:p>
        </w:tc>
        <w:tc>
          <w:tcPr>
            <w:tcW w:w="222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≤6%,且&gt;0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≤0</w:t>
            </w:r>
          </w:p>
        </w:tc>
      </w:tr>
      <w:tr>
        <w:tblPrEx>
          <w:tblLayout w:type="fixed"/>
        </w:tblPrEx>
        <w:trPr>
          <w:trHeight w:val="454" w:hRule="atLeast"/>
          <w:jc w:val="center"/>
        </w:trPr>
        <w:tc>
          <w:tcPr>
            <w:tcW w:w="20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流动比率</w:t>
            </w:r>
          </w:p>
        </w:tc>
        <w:tc>
          <w:tcPr>
            <w:tcW w:w="267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≥均值，且＞100%</w:t>
            </w:r>
          </w:p>
        </w:tc>
        <w:tc>
          <w:tcPr>
            <w:tcW w:w="27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＜均值，且＞100%</w:t>
            </w:r>
          </w:p>
        </w:tc>
        <w:tc>
          <w:tcPr>
            <w:tcW w:w="222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szCs w:val="21"/>
              </w:rPr>
            </w:pPr>
            <w:r>
              <w:rPr>
                <w:rFonts w:hint="eastAsia" w:ascii="宋体" w:hAnsi="宋体"/>
                <w:color w:val="000000"/>
              </w:rPr>
              <w:t>≤100%,且&gt;90%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olor w:val="000000"/>
              </w:rPr>
              <w:t>≤90%</w:t>
            </w:r>
          </w:p>
        </w:tc>
      </w:tr>
    </w:tbl>
    <w:p>
      <w:pPr>
        <w:pStyle w:val="17"/>
        <w:rPr>
          <w:szCs w:val="21"/>
        </w:rPr>
      </w:pPr>
    </w:p>
    <w:p>
      <w:pPr>
        <w:autoSpaceDE w:val="0"/>
        <w:spacing w:line="360" w:lineRule="auto"/>
        <w:rPr>
          <w:rFonts w:ascii="宋体" w:hAnsi="宋体"/>
        </w:rPr>
      </w:pPr>
      <w:r>
        <w:rPr>
          <w:rFonts w:hint="eastAsia" w:ascii="宋体" w:hAnsi="宋体"/>
        </w:rPr>
        <w:t>2.整体评价方式如下：</w:t>
      </w:r>
    </w:p>
    <w:p>
      <w:pPr>
        <w:autoSpaceDE w:val="0"/>
        <w:spacing w:line="360" w:lineRule="auto"/>
        <w:rPr>
          <w:rFonts w:ascii="宋体" w:hAnsi="宋体"/>
        </w:rPr>
      </w:pPr>
      <w:r>
        <w:rPr>
          <w:rFonts w:hint="eastAsia" w:ascii="宋体" w:hAnsi="宋体"/>
        </w:rPr>
        <w:t>（1）根据供应商提供的《财务状况一览表》取过往三年加权均值（考虑不同年份影响，权重由远及近依次为20%，30%，50%），若成立不足三年，过往两年权重为（40%，60%），过往一年权重为（100%）</w:t>
      </w:r>
    </w:p>
    <w:p>
      <w:pPr>
        <w:autoSpaceDE w:val="0"/>
        <w:spacing w:line="360" w:lineRule="auto"/>
        <w:rPr>
          <w:rFonts w:ascii="宋体" w:hAnsi="宋体"/>
        </w:rPr>
      </w:pPr>
      <w:r>
        <w:rPr>
          <w:rFonts w:hint="eastAsia" w:ascii="宋体" w:hAnsi="宋体"/>
        </w:rPr>
        <w:t>三个指标均为优秀，即认定整体优秀。</w:t>
      </w:r>
    </w:p>
    <w:p>
      <w:pPr>
        <w:autoSpaceDE w:val="0"/>
        <w:spacing w:line="360" w:lineRule="auto"/>
        <w:rPr>
          <w:rFonts w:ascii="宋体" w:hAnsi="宋体"/>
        </w:rPr>
      </w:pPr>
      <w:r>
        <w:rPr>
          <w:rFonts w:hint="eastAsia" w:ascii="宋体" w:hAnsi="宋体"/>
        </w:rPr>
        <w:t>（2）三个指标均为一般或总资产收益率指标为一般，即认定整体一般。</w:t>
      </w:r>
    </w:p>
    <w:p>
      <w:pPr>
        <w:autoSpaceDE w:val="0"/>
        <w:spacing w:line="360" w:lineRule="auto"/>
        <w:rPr>
          <w:rFonts w:ascii="宋体" w:hAnsi="宋体"/>
        </w:rPr>
      </w:pPr>
      <w:r>
        <w:rPr>
          <w:rFonts w:hint="eastAsia" w:ascii="宋体" w:hAnsi="宋体"/>
        </w:rPr>
        <w:t>（3）三个指标均为较差或总资产收益率指标为较差，即认定整体较差。</w:t>
      </w:r>
    </w:p>
    <w:p>
      <w:pPr>
        <w:adjustRightInd w:val="0"/>
        <w:snapToGrid w:val="0"/>
        <w:spacing w:line="360" w:lineRule="auto"/>
        <w:rPr>
          <w:rFonts w:ascii="宋体" w:hAnsi="宋体"/>
          <w:szCs w:val="21"/>
        </w:rPr>
      </w:pPr>
      <w:r>
        <w:rPr>
          <w:rFonts w:hint="eastAsia" w:ascii="宋体" w:hAnsi="宋体"/>
        </w:rPr>
        <w:t>（4）其余情况认定为整体良好。</w:t>
      </w:r>
    </w:p>
    <w:p>
      <w:pPr>
        <w:widowControl/>
        <w:jc w:val="left"/>
        <w:rPr>
          <w:b/>
        </w:rPr>
      </w:pPr>
    </w:p>
    <w:p>
      <w:pPr>
        <w:adjustRightInd w:val="0"/>
        <w:snapToGrid w:val="0"/>
        <w:spacing w:line="360" w:lineRule="auto"/>
        <w:ind w:firstLine="420" w:firstLineChars="200"/>
        <w:outlineLvl w:val="1"/>
        <w:rPr>
          <w:rFonts w:ascii="宋体"/>
          <w:szCs w:val="21"/>
        </w:rPr>
      </w:pPr>
      <w:bookmarkStart w:id="105" w:name="_Toc507608766"/>
      <w:r>
        <w:rPr>
          <w:rFonts w:hint="eastAsia" w:asciiTheme="minorEastAsia" w:hAnsiTheme="minorEastAsia" w:eastAsiaTheme="minorEastAsia"/>
          <w:b/>
          <w:kern w:val="1"/>
          <w:szCs w:val="21"/>
        </w:rPr>
        <w:t>附表</w:t>
      </w:r>
      <w:r>
        <w:rPr>
          <w:rFonts w:asciiTheme="minorEastAsia" w:hAnsiTheme="minorEastAsia" w:eastAsiaTheme="minorEastAsia"/>
          <w:b/>
          <w:kern w:val="1"/>
          <w:szCs w:val="21"/>
        </w:rPr>
        <w:t>3</w:t>
      </w:r>
      <w:r>
        <w:rPr>
          <w:rFonts w:hint="eastAsia" w:asciiTheme="minorEastAsia" w:hAnsiTheme="minorEastAsia" w:eastAsiaTheme="minorEastAsia"/>
          <w:b/>
          <w:kern w:val="1"/>
          <w:szCs w:val="21"/>
        </w:rPr>
        <w:t>：价格评审表</w:t>
      </w:r>
      <w:bookmarkEnd w:id="105"/>
    </w:p>
    <w:tbl>
      <w:tblPr>
        <w:tblStyle w:val="74"/>
        <w:tblW w:w="9137" w:type="dxa"/>
        <w:tblInd w:w="93" w:type="dxa"/>
        <w:tblLayout w:type="fixed"/>
        <w:tblCellMar>
          <w:top w:w="0" w:type="dxa"/>
          <w:left w:w="108" w:type="dxa"/>
          <w:bottom w:w="0" w:type="dxa"/>
          <w:right w:w="108" w:type="dxa"/>
        </w:tblCellMar>
      </w:tblPr>
      <w:tblGrid>
        <w:gridCol w:w="1288"/>
        <w:gridCol w:w="2696"/>
        <w:gridCol w:w="1288"/>
        <w:gridCol w:w="1288"/>
        <w:gridCol w:w="1288"/>
        <w:gridCol w:w="1289"/>
      </w:tblGrid>
      <w:tr>
        <w:tblPrEx>
          <w:tblLayout w:type="fixed"/>
        </w:tblPrEx>
        <w:trPr>
          <w:trHeight w:val="542"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价格评审计算表</w:t>
            </w:r>
          </w:p>
        </w:tc>
        <w:tc>
          <w:tcPr>
            <w:tcW w:w="12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A供应商</w:t>
            </w:r>
          </w:p>
        </w:tc>
        <w:tc>
          <w:tcPr>
            <w:tcW w:w="12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B供应商</w:t>
            </w:r>
          </w:p>
        </w:tc>
        <w:tc>
          <w:tcPr>
            <w:tcW w:w="12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C供应商</w:t>
            </w:r>
          </w:p>
        </w:tc>
        <w:tc>
          <w:tcPr>
            <w:tcW w:w="1289"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D供应商</w:t>
            </w:r>
          </w:p>
        </w:tc>
      </w:tr>
      <w:tr>
        <w:tblPrEx>
          <w:tblLayout w:type="fixed"/>
        </w:tblPrEx>
        <w:trPr>
          <w:trHeight w:val="302"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最终总报价格（人民币</w:t>
            </w:r>
            <w:r>
              <w:rPr>
                <w:rFonts w:cs="宋体" w:asciiTheme="minorEastAsia" w:hAnsiTheme="minorEastAsia" w:eastAsiaTheme="minorEastAsia"/>
                <w:color w:val="000000"/>
                <w:kern w:val="0"/>
                <w:sz w:val="18"/>
                <w:szCs w:val="18"/>
              </w:rPr>
              <w:t>.元，下同）</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458" w:hRule="atLeast"/>
        </w:trPr>
        <w:tc>
          <w:tcPr>
            <w:tcW w:w="12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供应商价格修正调整</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算术修正值</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504"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报价漏项调整</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520"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报价声明</w:t>
            </w:r>
            <w:r>
              <w:rPr>
                <w:rFonts w:cs="宋体" w:asciiTheme="minorEastAsia" w:hAnsiTheme="minorEastAsia" w:eastAsiaTheme="minorEastAsia"/>
                <w:color w:val="000000"/>
                <w:kern w:val="0"/>
                <w:sz w:val="18"/>
                <w:szCs w:val="18"/>
              </w:rPr>
              <w:t>(折扣或升、降价)</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314"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其他的修正调整</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671" w:hRule="atLeast"/>
        </w:trPr>
        <w:tc>
          <w:tcPr>
            <w:tcW w:w="1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响应偏离调整</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响应偏离</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851" w:hRule="atLeast"/>
        </w:trPr>
        <w:tc>
          <w:tcPr>
            <w:tcW w:w="398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可抵扣的增值税额</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410"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经评审的有效报价（评审价格）</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290" w:hRule="atLeast"/>
        </w:trPr>
        <w:tc>
          <w:tcPr>
            <w:tcW w:w="3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基准价（经评审的有效报价最低价）</w:t>
            </w:r>
          </w:p>
        </w:tc>
        <w:tc>
          <w:tcPr>
            <w:tcW w:w="515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PrEx>
        <w:trPr>
          <w:trHeight w:val="290"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r>
      <w:tr>
        <w:tblPrEx>
          <w:tblLayout w:type="fixed"/>
        </w:tblPrEx>
        <w:trPr>
          <w:trHeight w:val="233"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18"/>
                <w:szCs w:val="18"/>
              </w:rPr>
            </w:pPr>
          </w:p>
        </w:tc>
      </w:tr>
      <w:tr>
        <w:tblPrEx>
          <w:tblLayout w:type="fixed"/>
        </w:tblPrEx>
        <w:trPr>
          <w:trHeight w:val="520"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供应商报价得分</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Pr>
        <w:widowControl/>
        <w:jc w:val="left"/>
        <w:rPr>
          <w:b/>
        </w:rPr>
      </w:pPr>
    </w:p>
    <w:p>
      <w:pPr>
        <w:widowControl/>
        <w:jc w:val="left"/>
        <w:rPr>
          <w:b/>
        </w:rPr>
      </w:pPr>
      <w:r>
        <w:rPr>
          <w:rFonts w:hint="eastAsia"/>
          <w:b/>
        </w:rPr>
        <w:t>全体评委签名：日期：</w:t>
      </w:r>
      <w:r>
        <w:rPr>
          <w:b/>
        </w:rPr>
        <w:br w:type="page"/>
      </w:r>
    </w:p>
    <w:p>
      <w:pPr>
        <w:pStyle w:val="2"/>
        <w:spacing w:line="360" w:lineRule="auto"/>
      </w:pPr>
      <w:bookmarkStart w:id="106" w:name="_Toc456340619"/>
      <w:bookmarkStart w:id="107" w:name="_Toc507608767"/>
      <w:r>
        <w:rPr>
          <w:rFonts w:hint="eastAsia"/>
        </w:rPr>
        <w:t>第六部分</w:t>
      </w:r>
      <w:bookmarkEnd w:id="88"/>
      <w:bookmarkEnd w:id="89"/>
      <w:bookmarkEnd w:id="90"/>
      <w:bookmarkEnd w:id="91"/>
      <w:bookmarkEnd w:id="92"/>
      <w:bookmarkEnd w:id="93"/>
      <w:bookmarkEnd w:id="94"/>
      <w:bookmarkEnd w:id="106"/>
      <w:bookmarkStart w:id="108" w:name="_Toc296006409"/>
      <w:bookmarkStart w:id="109" w:name="_Toc296003027"/>
      <w:bookmarkStart w:id="110" w:name="_Toc363145651"/>
      <w:bookmarkStart w:id="111" w:name="_Toc363145534"/>
      <w:bookmarkStart w:id="112" w:name="_Toc363145072"/>
      <w:bookmarkStart w:id="113" w:name="_Toc420071774"/>
      <w:bookmarkStart w:id="114" w:name="_Toc456340620"/>
      <w:bookmarkStart w:id="115" w:name="_Toc400974375"/>
      <w:bookmarkStart w:id="116" w:name="_Toc296006339"/>
      <w:r>
        <w:rPr>
          <w:rFonts w:hint="eastAsia"/>
        </w:rPr>
        <w:t xml:space="preserve"> 响应文件格式</w:t>
      </w:r>
      <w:bookmarkEnd w:id="107"/>
      <w:bookmarkEnd w:id="108"/>
      <w:bookmarkEnd w:id="109"/>
      <w:bookmarkEnd w:id="110"/>
      <w:bookmarkEnd w:id="111"/>
      <w:bookmarkEnd w:id="112"/>
      <w:bookmarkEnd w:id="113"/>
      <w:bookmarkEnd w:id="114"/>
      <w:bookmarkEnd w:id="115"/>
      <w:bookmarkEnd w:id="116"/>
    </w:p>
    <w:p>
      <w:pPr>
        <w:spacing w:line="360" w:lineRule="auto"/>
        <w:jc w:val="center"/>
        <w:outlineLvl w:val="1"/>
        <w:rPr>
          <w:b/>
          <w:sz w:val="32"/>
          <w:szCs w:val="32"/>
        </w:rPr>
      </w:pPr>
      <w:bookmarkStart w:id="117" w:name="_Toc507608768"/>
      <w:r>
        <w:rPr>
          <w:rFonts w:hint="eastAsia"/>
          <w:b/>
          <w:sz w:val="32"/>
          <w:szCs w:val="32"/>
        </w:rPr>
        <w:t>封面格式内容</w:t>
      </w:r>
      <w:bookmarkEnd w:id="117"/>
    </w:p>
    <w:p>
      <w:pPr>
        <w:pStyle w:val="773"/>
        <w:tabs>
          <w:tab w:val="left" w:pos="1260"/>
        </w:tabs>
        <w:jc w:val="center"/>
        <w:rPr>
          <w:rFonts w:ascii="Times New Roman" w:hAnsi="Times New Roman"/>
          <w:b/>
          <w:spacing w:val="100"/>
          <w:w w:val="110"/>
          <w:kern w:val="0"/>
          <w:sz w:val="44"/>
          <w:szCs w:val="44"/>
        </w:rPr>
      </w:pPr>
      <w:r>
        <w:rPr>
          <w:rFonts w:hint="eastAsia" w:ascii="Times New Roman" w:hAnsi="Times New Roman"/>
          <w:b/>
          <w:spacing w:val="100"/>
          <w:w w:val="110"/>
          <w:kern w:val="0"/>
          <w:sz w:val="44"/>
          <w:szCs w:val="44"/>
        </w:rPr>
        <w:t>广发银行采购</w:t>
      </w: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tabs>
          <w:tab w:val="left" w:pos="1260"/>
        </w:tabs>
        <w:jc w:val="center"/>
        <w:rPr>
          <w:rFonts w:ascii="Times New Roman" w:hAnsi="Times New Roman"/>
          <w:b/>
          <w:spacing w:val="100"/>
          <w:w w:val="110"/>
          <w:sz w:val="44"/>
          <w:szCs w:val="44"/>
        </w:rPr>
      </w:pPr>
      <w:r>
        <w:rPr>
          <w:rFonts w:hint="eastAsia" w:ascii="Times New Roman" w:hAnsi="Times New Roman"/>
          <w:b/>
          <w:spacing w:val="100"/>
          <w:w w:val="110"/>
          <w:kern w:val="0"/>
          <w:sz w:val="44"/>
          <w:szCs w:val="44"/>
        </w:rPr>
        <w:t>响应文件</w:t>
      </w: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jc w:val="center"/>
        <w:rPr>
          <w:rFonts w:ascii="Times New Roman" w:hAnsi="Times New Roman"/>
          <w:b/>
          <w:sz w:val="44"/>
          <w:szCs w:val="44"/>
        </w:rPr>
      </w:pPr>
    </w:p>
    <w:p>
      <w:pPr>
        <w:pStyle w:val="773"/>
        <w:spacing w:line="360" w:lineRule="auto"/>
        <w:ind w:firstLine="1256" w:firstLineChars="448"/>
        <w:rPr>
          <w:rFonts w:ascii="Times New Roman" w:hAnsi="Times New Roman"/>
          <w:b/>
          <w:sz w:val="28"/>
          <w:szCs w:val="28"/>
          <w:u w:val="single"/>
        </w:rPr>
      </w:pPr>
      <w:r>
        <w:rPr>
          <w:rFonts w:hint="eastAsia" w:ascii="Times New Roman" w:hAnsi="Times New Roman"/>
          <w:b/>
          <w:sz w:val="28"/>
          <w:szCs w:val="28"/>
        </w:rPr>
        <w:t>采购项目编号：</w:t>
      </w:r>
    </w:p>
    <w:p>
      <w:pPr>
        <w:pStyle w:val="773"/>
        <w:spacing w:line="360" w:lineRule="auto"/>
        <w:ind w:firstLine="1256" w:firstLineChars="448"/>
        <w:rPr>
          <w:rFonts w:ascii="Times New Roman" w:hAnsi="Times New Roman"/>
          <w:b/>
          <w:sz w:val="28"/>
          <w:szCs w:val="28"/>
          <w:u w:val="single"/>
        </w:rPr>
      </w:pPr>
      <w:r>
        <w:rPr>
          <w:rFonts w:hint="eastAsia" w:ascii="Times New Roman" w:hAnsi="Times New Roman"/>
          <w:b/>
          <w:sz w:val="28"/>
          <w:szCs w:val="28"/>
        </w:rPr>
        <w:t>采购项目名称：</w:t>
      </w:r>
    </w:p>
    <w:p>
      <w:pPr>
        <w:pStyle w:val="773"/>
        <w:ind w:firstLine="1435" w:firstLineChars="512"/>
        <w:rPr>
          <w:rFonts w:ascii="Times New Roman" w:hAnsi="Times New Roman"/>
          <w:b/>
          <w:sz w:val="28"/>
          <w:szCs w:val="28"/>
        </w:rPr>
      </w:pPr>
    </w:p>
    <w:p>
      <w:pPr>
        <w:pStyle w:val="773"/>
        <w:ind w:firstLine="2255" w:firstLineChars="512"/>
        <w:rPr>
          <w:rFonts w:ascii="Times New Roman" w:hAnsi="Times New Roman"/>
          <w:b/>
          <w:sz w:val="44"/>
          <w:szCs w:val="44"/>
        </w:rPr>
      </w:pPr>
    </w:p>
    <w:p>
      <w:pPr>
        <w:pStyle w:val="773"/>
        <w:ind w:firstLine="2255" w:firstLineChars="512"/>
        <w:rPr>
          <w:rFonts w:ascii="Times New Roman" w:hAnsi="Times New Roman"/>
          <w:b/>
          <w:sz w:val="44"/>
          <w:szCs w:val="44"/>
        </w:rPr>
      </w:pPr>
    </w:p>
    <w:p>
      <w:pPr>
        <w:pStyle w:val="773"/>
        <w:ind w:firstLine="2255" w:firstLineChars="512"/>
        <w:rPr>
          <w:rFonts w:ascii="Times New Roman" w:hAnsi="Times New Roman"/>
          <w:b/>
          <w:sz w:val="44"/>
          <w:szCs w:val="44"/>
        </w:rPr>
      </w:pPr>
    </w:p>
    <w:p>
      <w:pPr>
        <w:pStyle w:val="773"/>
        <w:spacing w:line="360" w:lineRule="auto"/>
        <w:ind w:firstLine="1435" w:firstLineChars="512"/>
        <w:rPr>
          <w:rFonts w:ascii="Times New Roman" w:hAnsi="Times New Roman"/>
          <w:b/>
          <w:sz w:val="28"/>
          <w:szCs w:val="28"/>
          <w:u w:val="single"/>
        </w:rPr>
      </w:pPr>
      <w:r>
        <w:rPr>
          <w:rFonts w:hint="eastAsia" w:ascii="Times New Roman" w:hAnsi="Times New Roman"/>
          <w:b/>
          <w:sz w:val="28"/>
          <w:szCs w:val="28"/>
        </w:rPr>
        <w:t>供应商名称：</w:t>
      </w:r>
      <w:r>
        <w:rPr>
          <w:rFonts w:hint="eastAsia" w:ascii="Times New Roman" w:hAnsi="Times New Roman"/>
          <w:b/>
          <w:i/>
          <w:sz w:val="28"/>
          <w:szCs w:val="28"/>
          <w:u w:val="single"/>
        </w:rPr>
        <w:t>（注：正面和骑缝加盖公章）</w:t>
      </w:r>
    </w:p>
    <w:p>
      <w:pPr>
        <w:pStyle w:val="773"/>
        <w:spacing w:line="360" w:lineRule="auto"/>
        <w:ind w:firstLine="1435" w:firstLineChars="512"/>
        <w:rPr>
          <w:rFonts w:ascii="Times New Roman" w:hAnsi="Times New Roman" w:cs="Times New Roman"/>
          <w:b/>
          <w:sz w:val="28"/>
          <w:szCs w:val="28"/>
        </w:rPr>
      </w:pPr>
      <w:r>
        <w:rPr>
          <w:rFonts w:hint="eastAsia" w:ascii="Times New Roman" w:hAnsi="Times New Roman"/>
          <w:b/>
          <w:sz w:val="28"/>
          <w:szCs w:val="28"/>
        </w:rPr>
        <w:t>法定代表人或其委托代理人：</w:t>
      </w:r>
      <w:r>
        <w:rPr>
          <w:rFonts w:hint="eastAsia" w:ascii="Times New Roman" w:hAnsi="Times New Roman"/>
          <w:b/>
          <w:sz w:val="28"/>
          <w:szCs w:val="28"/>
          <w:u w:val="single"/>
        </w:rPr>
        <w:t>（注：签字）</w:t>
      </w:r>
    </w:p>
    <w:p>
      <w:pPr>
        <w:pStyle w:val="773"/>
        <w:spacing w:line="360" w:lineRule="auto"/>
        <w:ind w:firstLine="1435" w:firstLineChars="512"/>
        <w:rPr>
          <w:b/>
          <w:sz w:val="28"/>
          <w:szCs w:val="28"/>
          <w:u w:val="single"/>
        </w:rPr>
      </w:pPr>
      <w:r>
        <w:rPr>
          <w:rFonts w:hint="eastAsia"/>
          <w:b/>
          <w:sz w:val="28"/>
          <w:szCs w:val="28"/>
        </w:rPr>
        <w:t>日期：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pStyle w:val="771"/>
        <w:rPr>
          <w:sz w:val="44"/>
          <w:szCs w:val="44"/>
        </w:rPr>
      </w:pPr>
    </w:p>
    <w:p>
      <w:pPr>
        <w:pStyle w:val="773"/>
        <w:tabs>
          <w:tab w:val="left" w:pos="4680"/>
          <w:tab w:val="left" w:pos="10980"/>
        </w:tabs>
        <w:spacing w:line="480" w:lineRule="auto"/>
        <w:ind w:right="840" w:rightChars="400"/>
        <w:rPr>
          <w:rFonts w:hAnsi="宋体"/>
        </w:rPr>
      </w:pPr>
    </w:p>
    <w:p>
      <w:pPr>
        <w:pStyle w:val="773"/>
        <w:tabs>
          <w:tab w:val="left" w:pos="4680"/>
          <w:tab w:val="left" w:pos="10980"/>
        </w:tabs>
        <w:spacing w:line="480" w:lineRule="auto"/>
        <w:ind w:left="4200" w:leftChars="2000" w:right="840" w:rightChars="400" w:firstLine="735" w:firstLineChars="350"/>
        <w:jc w:val="left"/>
        <w:rPr>
          <w:rFonts w:hAnsi="宋体"/>
        </w:rPr>
        <w:sectPr>
          <w:footerReference r:id="rId3" w:type="default"/>
          <w:pgSz w:w="11907" w:h="16840"/>
          <w:pgMar w:top="1361" w:right="1304" w:bottom="1361" w:left="1361" w:header="794" w:footer="794" w:gutter="0"/>
          <w:cols w:space="720" w:num="1"/>
          <w:titlePg/>
          <w:docGrid w:linePitch="285" w:charSpace="0"/>
        </w:sectPr>
      </w:pPr>
    </w:p>
    <w:p>
      <w:pPr>
        <w:spacing w:line="360" w:lineRule="auto"/>
        <w:jc w:val="center"/>
        <w:outlineLvl w:val="1"/>
        <w:rPr>
          <w:b/>
          <w:sz w:val="32"/>
          <w:szCs w:val="32"/>
        </w:rPr>
      </w:pPr>
      <w:bookmarkStart w:id="118" w:name="_Toc507608769"/>
      <w:r>
        <w:rPr>
          <w:rFonts w:hint="eastAsia"/>
          <w:b/>
          <w:sz w:val="32"/>
          <w:szCs w:val="32"/>
        </w:rPr>
        <w:t>响应文件目录</w:t>
      </w:r>
      <w:bookmarkEnd w:id="118"/>
    </w:p>
    <w:p>
      <w:pPr>
        <w:spacing w:line="360" w:lineRule="auto"/>
        <w:jc w:val="center"/>
        <w:rPr>
          <w:i/>
          <w:szCs w:val="21"/>
        </w:rPr>
      </w:pPr>
      <w:r>
        <w:rPr>
          <w:rFonts w:hint="eastAsia"/>
          <w:i/>
          <w:szCs w:val="21"/>
        </w:rPr>
        <w:t>（注：供应商提交的磋商响应文件请按以下目录顺序装订，并设置目录及页码）</w:t>
      </w:r>
    </w:p>
    <w:p>
      <w:pPr>
        <w:widowControl/>
        <w:rPr>
          <w:szCs w:val="21"/>
        </w:rPr>
      </w:pPr>
    </w:p>
    <w:p>
      <w:pPr>
        <w:widowControl/>
        <w:rPr>
          <w:szCs w:val="21"/>
        </w:rPr>
      </w:pPr>
      <w:r>
        <w:rPr>
          <w:rFonts w:hint="eastAsia"/>
          <w:szCs w:val="21"/>
        </w:rPr>
        <w:t>第一章 初步审查响应文件</w:t>
      </w:r>
    </w:p>
    <w:p>
      <w:pPr>
        <w:widowControl/>
        <w:ind w:left="360" w:firstLine="420"/>
        <w:rPr>
          <w:szCs w:val="21"/>
        </w:rPr>
      </w:pPr>
      <w:r>
        <w:rPr>
          <w:rFonts w:hint="eastAsia"/>
          <w:szCs w:val="21"/>
        </w:rPr>
        <w:t>一、报价函</w:t>
      </w:r>
    </w:p>
    <w:p>
      <w:pPr>
        <w:widowControl/>
        <w:ind w:left="360" w:firstLine="420"/>
        <w:rPr>
          <w:szCs w:val="21"/>
        </w:rPr>
      </w:pPr>
      <w:r>
        <w:rPr>
          <w:rFonts w:hint="eastAsia"/>
          <w:szCs w:val="21"/>
        </w:rPr>
        <w:t>二、法人营业执照复印件</w:t>
      </w:r>
    </w:p>
    <w:p>
      <w:pPr>
        <w:widowControl/>
        <w:ind w:left="360" w:firstLine="420"/>
        <w:rPr>
          <w:szCs w:val="21"/>
        </w:rPr>
      </w:pPr>
      <w:r>
        <w:rPr>
          <w:rFonts w:hint="eastAsia"/>
          <w:szCs w:val="21"/>
        </w:rPr>
        <w:t>三、法定代表人证明书</w:t>
      </w:r>
    </w:p>
    <w:p>
      <w:pPr>
        <w:widowControl/>
        <w:ind w:left="360" w:firstLine="420"/>
        <w:rPr>
          <w:szCs w:val="21"/>
        </w:rPr>
      </w:pPr>
      <w:r>
        <w:rPr>
          <w:rFonts w:hint="eastAsia"/>
          <w:szCs w:val="21"/>
        </w:rPr>
        <w:t>四、法定代表人授权书</w:t>
      </w:r>
    </w:p>
    <w:p>
      <w:pPr>
        <w:widowControl/>
        <w:ind w:left="360" w:firstLine="420"/>
        <w:rPr>
          <w:szCs w:val="21"/>
        </w:rPr>
      </w:pPr>
      <w:r>
        <w:rPr>
          <w:rFonts w:hint="eastAsia"/>
          <w:szCs w:val="21"/>
        </w:rPr>
        <w:t>五、纳税人资质证明文件</w:t>
      </w:r>
    </w:p>
    <w:p>
      <w:pPr>
        <w:widowControl/>
        <w:ind w:left="360" w:firstLine="420"/>
        <w:rPr>
          <w:szCs w:val="21"/>
        </w:rPr>
      </w:pPr>
      <w:r>
        <w:rPr>
          <w:rFonts w:hint="eastAsia"/>
          <w:szCs w:val="21"/>
        </w:rPr>
        <w:t>六、退保证金声明及保证金的银行转帐单复印件</w:t>
      </w:r>
    </w:p>
    <w:p>
      <w:pPr>
        <w:widowControl/>
        <w:ind w:left="360" w:firstLine="420"/>
        <w:rPr>
          <w:szCs w:val="21"/>
        </w:rPr>
      </w:pPr>
      <w:r>
        <w:rPr>
          <w:rFonts w:hint="eastAsia"/>
          <w:szCs w:val="21"/>
        </w:rPr>
        <w:t>七、供应商资格声明函</w:t>
      </w:r>
    </w:p>
    <w:p>
      <w:pPr>
        <w:widowControl/>
        <w:ind w:left="360" w:firstLine="420"/>
        <w:rPr>
          <w:szCs w:val="21"/>
        </w:rPr>
      </w:pPr>
      <w:r>
        <w:rPr>
          <w:rFonts w:hint="eastAsia"/>
          <w:szCs w:val="21"/>
        </w:rPr>
        <w:t>八、供应商响应报价承诺书</w:t>
      </w:r>
    </w:p>
    <w:p>
      <w:pPr>
        <w:widowControl/>
        <w:ind w:left="360" w:firstLine="420"/>
        <w:rPr>
          <w:szCs w:val="21"/>
        </w:rPr>
      </w:pPr>
      <w:r>
        <w:rPr>
          <w:rFonts w:hint="eastAsia"/>
          <w:szCs w:val="21"/>
        </w:rPr>
        <w:t>九、供应商资格条件要求的其他证明材料</w:t>
      </w:r>
    </w:p>
    <w:p>
      <w:pPr>
        <w:widowControl/>
        <w:ind w:left="360" w:firstLine="420"/>
        <w:rPr>
          <w:szCs w:val="21"/>
        </w:rPr>
      </w:pPr>
    </w:p>
    <w:p>
      <w:pPr>
        <w:widowControl/>
        <w:rPr>
          <w:szCs w:val="21"/>
        </w:rPr>
      </w:pPr>
      <w:r>
        <w:rPr>
          <w:rFonts w:hint="eastAsia"/>
          <w:szCs w:val="21"/>
        </w:rPr>
        <w:t xml:space="preserve">第二章 </w:t>
      </w:r>
      <w:r>
        <w:rPr>
          <w:rFonts w:hint="eastAsia" w:ascii="宋体" w:hAnsi="宋体"/>
          <w:szCs w:val="21"/>
        </w:rPr>
        <w:t>商务和技术响应文件</w:t>
      </w:r>
    </w:p>
    <w:p>
      <w:pPr>
        <w:widowControl/>
        <w:ind w:left="360" w:firstLine="420"/>
        <w:rPr>
          <w:szCs w:val="21"/>
        </w:rPr>
      </w:pPr>
      <w:r>
        <w:rPr>
          <w:rFonts w:hint="eastAsia"/>
          <w:szCs w:val="21"/>
        </w:rPr>
        <w:t>一、供应商综合概况</w:t>
      </w:r>
    </w:p>
    <w:p>
      <w:pPr>
        <w:widowControl/>
        <w:ind w:left="360" w:firstLine="420"/>
        <w:rPr>
          <w:szCs w:val="21"/>
        </w:rPr>
      </w:pPr>
      <w:r>
        <w:rPr>
          <w:rFonts w:hint="eastAsia"/>
          <w:szCs w:val="21"/>
        </w:rPr>
        <w:t>（一）供应商情况介绍表</w:t>
      </w:r>
    </w:p>
    <w:p>
      <w:pPr>
        <w:widowControl/>
        <w:ind w:left="360" w:firstLine="420"/>
        <w:rPr>
          <w:szCs w:val="21"/>
        </w:rPr>
      </w:pPr>
      <w:r>
        <w:rPr>
          <w:rFonts w:hint="eastAsia"/>
          <w:szCs w:val="21"/>
        </w:rPr>
        <w:t>（二）供应商财务状况一览表</w:t>
      </w:r>
    </w:p>
    <w:p>
      <w:pPr>
        <w:widowControl/>
        <w:ind w:left="360" w:firstLine="420"/>
        <w:rPr>
          <w:szCs w:val="21"/>
        </w:rPr>
      </w:pPr>
      <w:r>
        <w:rPr>
          <w:rFonts w:hint="eastAsia"/>
          <w:szCs w:val="21"/>
        </w:rPr>
        <w:t>（三）近三年类似项目业绩</w:t>
      </w:r>
    </w:p>
    <w:p>
      <w:pPr>
        <w:widowControl/>
        <w:ind w:left="360" w:firstLine="420"/>
        <w:rPr>
          <w:szCs w:val="21"/>
        </w:rPr>
      </w:pPr>
      <w:r>
        <w:rPr>
          <w:rFonts w:hint="eastAsia"/>
          <w:szCs w:val="21"/>
        </w:rPr>
        <w:t>（四）拟任执行管理及技术人员情况</w:t>
      </w:r>
    </w:p>
    <w:p>
      <w:pPr>
        <w:widowControl/>
        <w:ind w:left="360" w:firstLine="420"/>
        <w:rPr>
          <w:szCs w:val="21"/>
        </w:rPr>
      </w:pPr>
      <w:r>
        <w:rPr>
          <w:rFonts w:hint="eastAsia"/>
          <w:szCs w:val="21"/>
        </w:rPr>
        <w:t>（五）履约进度</w:t>
      </w:r>
      <w:bookmarkStart w:id="125" w:name="_GoBack"/>
      <w:bookmarkEnd w:id="125"/>
      <w:r>
        <w:rPr>
          <w:rFonts w:hint="eastAsia"/>
          <w:szCs w:val="21"/>
        </w:rPr>
        <w:t>计划表</w:t>
      </w:r>
    </w:p>
    <w:p>
      <w:pPr>
        <w:widowControl/>
        <w:ind w:left="360" w:firstLine="420"/>
        <w:rPr>
          <w:szCs w:val="21"/>
        </w:rPr>
      </w:pPr>
      <w:r>
        <w:rPr>
          <w:rFonts w:hint="eastAsia"/>
          <w:szCs w:val="21"/>
        </w:rPr>
        <w:t>（六）其它重要事项说明及承诺</w:t>
      </w:r>
    </w:p>
    <w:p>
      <w:pPr>
        <w:widowControl/>
        <w:ind w:left="360" w:firstLine="420"/>
        <w:rPr>
          <w:szCs w:val="21"/>
        </w:rPr>
      </w:pPr>
      <w:r>
        <w:rPr>
          <w:rFonts w:hint="eastAsia"/>
          <w:szCs w:val="21"/>
        </w:rPr>
        <w:t>二、商务条款（合同书格式）响应</w:t>
      </w:r>
    </w:p>
    <w:p>
      <w:pPr>
        <w:widowControl/>
        <w:ind w:left="360" w:firstLine="420"/>
        <w:rPr>
          <w:szCs w:val="21"/>
        </w:rPr>
      </w:pPr>
      <w:r>
        <w:rPr>
          <w:rFonts w:hint="eastAsia"/>
          <w:szCs w:val="21"/>
        </w:rPr>
        <w:t>（一）</w:t>
      </w:r>
      <w:r>
        <w:rPr>
          <w:szCs w:val="21"/>
        </w:rPr>
        <w:fldChar w:fldCharType="begin"/>
      </w:r>
      <w:r>
        <w:rPr>
          <w:szCs w:val="21"/>
        </w:rPr>
        <w:instrText xml:space="preserve"> DOCVARIABLE  </w:instrText>
      </w:r>
      <w:r>
        <w:rPr>
          <w:rFonts w:hint="eastAsia"/>
          <w:szCs w:val="21"/>
        </w:rPr>
        <w:instrText xml:space="preserve">商务条款响应表开始</w:instrText>
      </w:r>
      <w:r>
        <w:rPr>
          <w:szCs w:val="21"/>
        </w:rPr>
        <w:instrText xml:space="preserve">  \* MERGEFORMAT </w:instrText>
      </w:r>
      <w:r>
        <w:rPr>
          <w:szCs w:val="21"/>
        </w:rPr>
        <w:fldChar w:fldCharType="end"/>
      </w:r>
      <w:r>
        <w:rPr>
          <w:szCs w:val="21"/>
        </w:rPr>
        <w:fldChar w:fldCharType="begin"/>
      </w:r>
      <w:r>
        <w:rPr>
          <w:szCs w:val="21"/>
        </w:rPr>
        <w:instrText xml:space="preserve"> DOCVARIABLE  </w:instrText>
      </w:r>
      <w:r>
        <w:rPr>
          <w:rFonts w:hint="eastAsia"/>
          <w:szCs w:val="21"/>
        </w:rPr>
        <w:instrText xml:space="preserve">商务条款响应表开始</w:instrText>
      </w:r>
      <w:r>
        <w:rPr>
          <w:szCs w:val="21"/>
        </w:rPr>
        <w:instrText xml:space="preserve">  \* MERGEFORMAT </w:instrText>
      </w:r>
      <w:r>
        <w:rPr>
          <w:szCs w:val="21"/>
        </w:rPr>
        <w:fldChar w:fldCharType="end"/>
      </w:r>
      <w:r>
        <w:rPr>
          <w:rFonts w:hint="eastAsia"/>
          <w:szCs w:val="21"/>
        </w:rPr>
        <w:t>商务条款响应表</w:t>
      </w:r>
    </w:p>
    <w:p>
      <w:pPr>
        <w:widowControl/>
        <w:ind w:left="360" w:firstLine="420"/>
        <w:rPr>
          <w:szCs w:val="21"/>
        </w:rPr>
      </w:pPr>
      <w:r>
        <w:rPr>
          <w:rFonts w:hint="eastAsia"/>
          <w:szCs w:val="21"/>
        </w:rPr>
        <w:t>（二）合同格式条款响应表</w:t>
      </w:r>
    </w:p>
    <w:p>
      <w:pPr>
        <w:widowControl/>
        <w:ind w:left="360" w:firstLine="420"/>
        <w:rPr>
          <w:szCs w:val="21"/>
        </w:rPr>
      </w:pPr>
      <w:r>
        <w:rPr>
          <w:rFonts w:hint="eastAsia"/>
          <w:szCs w:val="21"/>
        </w:rPr>
        <w:t>三、技术条款（用户需求书）响应</w:t>
      </w:r>
    </w:p>
    <w:p>
      <w:pPr>
        <w:widowControl/>
        <w:ind w:left="360" w:firstLine="420"/>
        <w:rPr>
          <w:szCs w:val="21"/>
        </w:rPr>
      </w:pPr>
      <w:r>
        <w:rPr>
          <w:rFonts w:hint="eastAsia"/>
          <w:szCs w:val="21"/>
        </w:rPr>
        <w:t>（一）技术响应表</w:t>
      </w:r>
    </w:p>
    <w:p>
      <w:pPr>
        <w:widowControl/>
        <w:ind w:left="360" w:firstLine="420"/>
        <w:rPr>
          <w:szCs w:val="21"/>
        </w:rPr>
      </w:pPr>
      <w:r>
        <w:rPr>
          <w:rFonts w:hint="eastAsia"/>
          <w:szCs w:val="21"/>
        </w:rPr>
        <w:t>（二）★条款响应表</w:t>
      </w:r>
    </w:p>
    <w:p>
      <w:pPr>
        <w:widowControl/>
        <w:ind w:left="360" w:firstLine="420"/>
        <w:rPr>
          <w:szCs w:val="21"/>
        </w:rPr>
      </w:pPr>
      <w:r>
        <w:rPr>
          <w:rFonts w:hint="eastAsia"/>
          <w:szCs w:val="21"/>
        </w:rPr>
        <w:t>四、商务、合同、技术或服务响应方案</w:t>
      </w:r>
    </w:p>
    <w:p>
      <w:pPr>
        <w:widowControl/>
        <w:ind w:left="360" w:firstLine="420"/>
        <w:rPr>
          <w:szCs w:val="21"/>
        </w:rPr>
      </w:pPr>
      <w:r>
        <w:rPr>
          <w:rFonts w:hint="eastAsia"/>
          <w:szCs w:val="21"/>
        </w:rPr>
        <w:t>（一）商务响应方案</w:t>
      </w:r>
    </w:p>
    <w:p>
      <w:pPr>
        <w:widowControl/>
        <w:ind w:left="360" w:firstLine="420"/>
        <w:rPr>
          <w:szCs w:val="21"/>
        </w:rPr>
      </w:pPr>
      <w:r>
        <w:rPr>
          <w:rFonts w:hint="eastAsia"/>
          <w:szCs w:val="21"/>
        </w:rPr>
        <w:t>（二）合同条款响应方案</w:t>
      </w:r>
    </w:p>
    <w:p>
      <w:pPr>
        <w:widowControl/>
        <w:ind w:left="360" w:firstLine="420"/>
        <w:rPr>
          <w:szCs w:val="21"/>
        </w:rPr>
      </w:pPr>
      <w:r>
        <w:rPr>
          <w:rFonts w:hint="eastAsia"/>
          <w:szCs w:val="21"/>
        </w:rPr>
        <w:t>（三）技术/服务响应方案</w:t>
      </w:r>
    </w:p>
    <w:p>
      <w:pPr>
        <w:widowControl/>
        <w:ind w:left="360" w:firstLine="420"/>
        <w:rPr>
          <w:szCs w:val="21"/>
        </w:rPr>
      </w:pPr>
    </w:p>
    <w:p>
      <w:pPr>
        <w:widowControl/>
        <w:rPr>
          <w:szCs w:val="21"/>
        </w:rPr>
      </w:pPr>
      <w:r>
        <w:rPr>
          <w:rFonts w:hint="eastAsia"/>
          <w:szCs w:val="21"/>
        </w:rPr>
        <w:t>第三章 报价文件</w:t>
      </w:r>
    </w:p>
    <w:p>
      <w:pPr>
        <w:widowControl/>
        <w:ind w:firstLine="735" w:firstLineChars="350"/>
        <w:rPr>
          <w:szCs w:val="21"/>
        </w:rPr>
      </w:pPr>
      <w:r>
        <w:rPr>
          <w:rFonts w:hint="eastAsia"/>
          <w:szCs w:val="21"/>
        </w:rPr>
        <w:t>一、报价一览表</w:t>
      </w:r>
    </w:p>
    <w:p>
      <w:pPr>
        <w:spacing w:line="360" w:lineRule="auto"/>
        <w:rPr>
          <w:szCs w:val="21"/>
        </w:rPr>
      </w:pPr>
    </w:p>
    <w:p>
      <w:pPr>
        <w:widowControl/>
        <w:rPr>
          <w:szCs w:val="21"/>
        </w:rPr>
      </w:pPr>
      <w:r>
        <w:rPr>
          <w:rFonts w:hint="eastAsia"/>
          <w:szCs w:val="21"/>
        </w:rPr>
        <w:t>第四章 供应商响应自查情况</w:t>
      </w:r>
    </w:p>
    <w:p>
      <w:pPr>
        <w:widowControl/>
        <w:ind w:firstLine="735" w:firstLineChars="350"/>
        <w:rPr>
          <w:szCs w:val="21"/>
        </w:rPr>
      </w:pPr>
      <w:r>
        <w:rPr>
          <w:rFonts w:hint="eastAsia"/>
          <w:szCs w:val="21"/>
        </w:rPr>
        <w:t>一、</w:t>
      </w:r>
      <w:r>
        <w:rPr>
          <w:szCs w:val="21"/>
        </w:rPr>
        <w:t>初步评审表</w:t>
      </w:r>
      <w:r>
        <w:rPr>
          <w:rFonts w:hint="eastAsia"/>
          <w:szCs w:val="21"/>
        </w:rPr>
        <w:t>自查情况</w:t>
      </w:r>
    </w:p>
    <w:p>
      <w:pPr>
        <w:widowControl/>
        <w:ind w:firstLine="735" w:firstLineChars="350"/>
        <w:rPr>
          <w:szCs w:val="21"/>
        </w:rPr>
      </w:pPr>
      <w:r>
        <w:rPr>
          <w:rFonts w:hint="eastAsia"/>
          <w:szCs w:val="21"/>
        </w:rPr>
        <w:t>二、评分标准表自查情况</w:t>
      </w:r>
    </w:p>
    <w:p>
      <w:pPr>
        <w:jc w:val="center"/>
        <w:outlineLvl w:val="1"/>
        <w:rPr>
          <w:b/>
        </w:rPr>
      </w:pPr>
      <w:r>
        <w:br w:type="page"/>
      </w:r>
      <w:bookmarkStart w:id="119" w:name="_Toc507608770"/>
      <w:r>
        <w:rPr>
          <w:rFonts w:hint="eastAsia"/>
          <w:b/>
        </w:rPr>
        <w:t>第一章 初步审查文件</w:t>
      </w:r>
      <w:bookmarkEnd w:id="119"/>
    </w:p>
    <w:p>
      <w:pPr>
        <w:spacing w:line="360" w:lineRule="auto"/>
        <w:rPr>
          <w:b/>
        </w:rPr>
      </w:pPr>
    </w:p>
    <w:p>
      <w:pPr>
        <w:widowControl/>
        <w:jc w:val="left"/>
        <w:rPr>
          <w:b/>
        </w:rPr>
      </w:pPr>
      <w:r>
        <w:rPr>
          <w:rFonts w:hint="eastAsia"/>
          <w:b/>
        </w:rPr>
        <w:t>一、报价函</w:t>
      </w:r>
    </w:p>
    <w:p>
      <w:pPr>
        <w:tabs>
          <w:tab w:val="left" w:pos="8364"/>
        </w:tabs>
        <w:snapToGrid w:val="0"/>
        <w:spacing w:line="360" w:lineRule="auto"/>
        <w:ind w:right="-58"/>
        <w:jc w:val="center"/>
        <w:rPr>
          <w:rFonts w:ascii="宋体" w:hAnsi="宋体"/>
          <w:szCs w:val="21"/>
        </w:rPr>
      </w:pPr>
      <w:r>
        <w:rPr>
          <w:rFonts w:hint="eastAsia" w:ascii="宋体" w:hAnsi="宋体"/>
          <w:szCs w:val="21"/>
        </w:rPr>
        <w:t>报 价 函</w:t>
      </w:r>
    </w:p>
    <w:p>
      <w:pPr>
        <w:spacing w:line="360" w:lineRule="auto"/>
      </w:pPr>
      <w:r>
        <w:rPr>
          <w:rFonts w:hint="eastAsia"/>
        </w:rPr>
        <w:t>致：广发银行股份有限公司</w:t>
      </w:r>
    </w:p>
    <w:p>
      <w:pPr>
        <w:tabs>
          <w:tab w:val="left" w:pos="0"/>
        </w:tabs>
        <w:spacing w:line="360" w:lineRule="auto"/>
        <w:ind w:firstLine="420" w:firstLineChars="200"/>
        <w:jc w:val="left"/>
        <w:rPr>
          <w:b/>
        </w:rPr>
      </w:pPr>
      <w:r>
        <w:rPr>
          <w:rFonts w:hint="eastAsia"/>
        </w:rPr>
        <w:t>我方确认收到贵方提供的</w:t>
      </w:r>
      <w:r>
        <w:rPr>
          <w:rFonts w:hint="eastAsia"/>
          <w:u w:val="single"/>
        </w:rPr>
        <w:t xml:space="preserve">      </w:t>
      </w:r>
      <w:r>
        <w:rPr>
          <w:rFonts w:hint="eastAsia"/>
        </w:rPr>
        <w:t>（项目名称）磋商文件（项目编号：</w:t>
      </w:r>
      <w:r>
        <w:rPr>
          <w:rFonts w:hint="eastAsia"/>
          <w:u w:val="single"/>
        </w:rPr>
        <w:t xml:space="preserve">       </w:t>
      </w:r>
      <w:r>
        <w:rPr>
          <w:rFonts w:hint="eastAsia"/>
        </w:rPr>
        <w:t>）的全部内容，我方：（</w:t>
      </w:r>
      <w:r>
        <w:rPr>
          <w:rFonts w:hint="eastAsia"/>
          <w:u w:val="single"/>
        </w:rPr>
        <w:t>磋商供应商名称</w:t>
      </w:r>
      <w:r>
        <w:rPr>
          <w:rFonts w:hint="eastAsia"/>
        </w:rPr>
        <w:t>）作为响应方正式授权（</w:t>
      </w:r>
      <w:r>
        <w:rPr>
          <w:rFonts w:hint="eastAsia"/>
          <w:u w:val="single"/>
        </w:rPr>
        <w:t>授权代表全名，职务</w:t>
      </w:r>
      <w:r>
        <w:rPr>
          <w:rFonts w:hint="eastAsia"/>
        </w:rPr>
        <w:t>）代表我方进行有关本次磋商响应的一切事宜</w:t>
      </w:r>
      <w:r>
        <w:rPr>
          <w:rFonts w:hint="eastAsia"/>
          <w:b/>
        </w:rPr>
        <w:t>。本次提交的磋商响应文件，正本</w:t>
      </w:r>
      <w:r>
        <w:rPr>
          <w:rFonts w:hint="eastAsia"/>
          <w:b/>
          <w:u w:val="single"/>
        </w:rPr>
        <w:t xml:space="preserve">  </w:t>
      </w:r>
      <w:r>
        <w:rPr>
          <w:rFonts w:hint="eastAsia"/>
          <w:b/>
        </w:rPr>
        <w:t>份，副本</w:t>
      </w:r>
      <w:r>
        <w:rPr>
          <w:rFonts w:hint="eastAsia"/>
          <w:b/>
          <w:u w:val="single"/>
        </w:rPr>
        <w:t xml:space="preserve">   </w:t>
      </w:r>
      <w:r>
        <w:rPr>
          <w:rFonts w:hint="eastAsia"/>
          <w:b/>
        </w:rPr>
        <w:t>份，电子文件</w:t>
      </w:r>
      <w:r>
        <w:rPr>
          <w:rFonts w:hint="eastAsia"/>
          <w:b/>
          <w:u w:val="single"/>
        </w:rPr>
        <w:t xml:space="preserve">   </w:t>
      </w:r>
      <w:r>
        <w:rPr>
          <w:rFonts w:hint="eastAsia"/>
          <w:b/>
        </w:rPr>
        <w:t>份，</w:t>
      </w:r>
      <w:r>
        <w:rPr>
          <w:rFonts w:hint="eastAsia"/>
        </w:rPr>
        <w:t>随本报价函提交的磋商保证金一份，金额</w:t>
      </w:r>
      <w:r>
        <w:rPr>
          <w:rFonts w:hint="eastAsia" w:cs="微软雅黑"/>
        </w:rPr>
        <w:t>人民币（</w:t>
      </w:r>
      <w:r>
        <w:t>¥</w:t>
      </w:r>
      <w:r>
        <w:rPr>
          <w:rFonts w:hint="eastAsia" w:cs="微软雅黑"/>
        </w:rPr>
        <w:t>）</w:t>
      </w:r>
      <w:r>
        <w:rPr>
          <w:rFonts w:hint="eastAsia" w:cs="微软雅黑"/>
          <w:u w:val="single"/>
        </w:rPr>
        <w:t xml:space="preserve">          </w:t>
      </w:r>
      <w:r>
        <w:rPr>
          <w:rFonts w:hint="eastAsia" w:cs="微软雅黑"/>
        </w:rPr>
        <w:t>（大写）元</w:t>
      </w:r>
      <w:r>
        <w:rPr>
          <w:rFonts w:hint="eastAsia"/>
        </w:rPr>
        <w:t>。在此，我方声明</w:t>
      </w:r>
      <w:r>
        <w:rPr>
          <w:rFonts w:hint="eastAsia"/>
          <w:b/>
        </w:rPr>
        <w:t>我方完全了解磋商文件的所有条款要求，同意接受其约束，并重申以下几点：</w:t>
      </w:r>
    </w:p>
    <w:p>
      <w:pPr>
        <w:numPr>
          <w:ilvl w:val="0"/>
          <w:numId w:val="4"/>
        </w:numPr>
        <w:tabs>
          <w:tab w:val="left" w:pos="0"/>
        </w:tabs>
        <w:spacing w:line="360" w:lineRule="auto"/>
        <w:ind w:left="0" w:firstLine="420" w:firstLineChars="200"/>
      </w:pPr>
      <w:r>
        <w:rPr>
          <w:rFonts w:hint="eastAsia"/>
        </w:rPr>
        <w:t>我方决定参加本项目的磋商，并</w:t>
      </w:r>
      <w:r>
        <w:rPr>
          <w:rFonts w:hint="eastAsia" w:ascii="宋体" w:hAnsi="宋体"/>
          <w:szCs w:val="21"/>
        </w:rPr>
        <w:t>承诺在本次响应文件中提供的一切文件，无论是原件还是复印件均为真实和准确的，绝无任何虚假、伪造和夸大的成份，并接受磋商文件提出的核查要求，否则，愿承担相应的后果和法律责任。</w:t>
      </w:r>
    </w:p>
    <w:p>
      <w:pPr>
        <w:numPr>
          <w:ilvl w:val="0"/>
          <w:numId w:val="4"/>
        </w:numPr>
        <w:tabs>
          <w:tab w:val="left" w:pos="0"/>
        </w:tabs>
        <w:spacing w:line="360" w:lineRule="auto"/>
        <w:ind w:left="0" w:firstLine="420" w:firstLineChars="200"/>
      </w:pPr>
      <w:r>
        <w:rPr>
          <w:rFonts w:hint="eastAsia"/>
        </w:rPr>
        <w:t>按照磋商文件要求，提供全部有关技术或服务及相关配套设施的报价（详见报价表）。</w:t>
      </w:r>
    </w:p>
    <w:p>
      <w:pPr>
        <w:numPr>
          <w:ilvl w:val="0"/>
          <w:numId w:val="4"/>
        </w:numPr>
        <w:tabs>
          <w:tab w:val="left" w:pos="0"/>
        </w:tabs>
        <w:spacing w:line="360" w:lineRule="auto"/>
        <w:ind w:left="0" w:firstLine="420" w:firstLineChars="200"/>
      </w:pPr>
      <w:r>
        <w:rPr>
          <w:rFonts w:hint="eastAsia"/>
        </w:rPr>
        <w:t>本磋商响应文件的有效期为本项目磋商文件供应商须知前附表规定时间，如中选，有效期将延至合同终止日为止。</w:t>
      </w:r>
    </w:p>
    <w:p>
      <w:pPr>
        <w:numPr>
          <w:ilvl w:val="0"/>
          <w:numId w:val="4"/>
        </w:numPr>
        <w:tabs>
          <w:tab w:val="left" w:pos="0"/>
        </w:tabs>
        <w:spacing w:line="360" w:lineRule="auto"/>
        <w:ind w:left="0" w:firstLine="420" w:firstLineChars="200"/>
      </w:pPr>
      <w:r>
        <w:rPr>
          <w:rFonts w:hint="eastAsia"/>
        </w:rPr>
        <w:t>我方已详细研究了磋商文件的所有内容包括澄清答复与修正文件（如有）和所有已提供的参考资料以及有关附件，并完全明白，我方对上述文件资料不存在歧义或误解</w:t>
      </w:r>
      <w:r>
        <w:rPr>
          <w:rFonts w:hint="eastAsia" w:ascii="宋体" w:hAnsi="宋体"/>
          <w:szCs w:val="21"/>
        </w:rPr>
        <w:t>，同意放弃对这些文件所提出的异议和投诉的权利。</w:t>
      </w:r>
    </w:p>
    <w:p>
      <w:pPr>
        <w:numPr>
          <w:ilvl w:val="0"/>
          <w:numId w:val="4"/>
        </w:numPr>
        <w:tabs>
          <w:tab w:val="left" w:pos="0"/>
        </w:tabs>
        <w:spacing w:line="360" w:lineRule="auto"/>
        <w:ind w:left="0" w:firstLine="420" w:firstLineChars="200"/>
      </w:pPr>
      <w:r>
        <w:rPr>
          <w:rFonts w:hint="eastAsia"/>
        </w:rPr>
        <w:t>我方明白并接受磋商文件关于磋商保证金不予退还的规定。</w:t>
      </w:r>
    </w:p>
    <w:p>
      <w:pPr>
        <w:numPr>
          <w:ilvl w:val="0"/>
          <w:numId w:val="4"/>
        </w:numPr>
        <w:tabs>
          <w:tab w:val="left" w:pos="0"/>
        </w:tabs>
        <w:spacing w:line="360" w:lineRule="auto"/>
        <w:ind w:left="0" w:firstLine="420" w:firstLineChars="200"/>
      </w:pPr>
      <w:r>
        <w:rPr>
          <w:rFonts w:hint="eastAsia"/>
        </w:rPr>
        <w:t>我方同意按照贵方提出的要求而提供与报价有关的任何其他数据或信息。</w:t>
      </w:r>
    </w:p>
    <w:p>
      <w:pPr>
        <w:numPr>
          <w:ilvl w:val="0"/>
          <w:numId w:val="4"/>
        </w:numPr>
        <w:tabs>
          <w:tab w:val="left" w:pos="0"/>
        </w:tabs>
        <w:spacing w:line="360" w:lineRule="auto"/>
        <w:ind w:left="0" w:firstLine="420" w:firstLineChars="200"/>
      </w:pPr>
      <w:r>
        <w:rPr>
          <w:rFonts w:hint="eastAsia"/>
        </w:rPr>
        <w:t>我方理解贵方不一定接受最低价或任何贵方可能收到的报价，完全服从和尊重本项目评审委员会所作的评定结果。</w:t>
      </w:r>
    </w:p>
    <w:p>
      <w:pPr>
        <w:numPr>
          <w:ilvl w:val="0"/>
          <w:numId w:val="4"/>
        </w:numPr>
        <w:tabs>
          <w:tab w:val="left" w:pos="0"/>
        </w:tabs>
        <w:spacing w:line="360" w:lineRule="auto"/>
        <w:ind w:left="0" w:firstLine="420" w:firstLineChars="200"/>
      </w:pPr>
      <w:r>
        <w:rPr>
          <w:rFonts w:hint="eastAsia"/>
        </w:rPr>
        <w:t>我方同意在报价有效期内，磋商响应文件对我方具有约束力，并保证随时接受中选且不拒绝与采购人签订合同。</w:t>
      </w:r>
    </w:p>
    <w:p>
      <w:pPr>
        <w:numPr>
          <w:ilvl w:val="0"/>
          <w:numId w:val="4"/>
        </w:numPr>
        <w:tabs>
          <w:tab w:val="left" w:pos="0"/>
        </w:tabs>
        <w:spacing w:line="360" w:lineRule="auto"/>
        <w:ind w:left="0" w:firstLine="420" w:firstLineChars="200"/>
      </w:pPr>
      <w:r>
        <w:rPr>
          <w:rFonts w:hint="eastAsia"/>
        </w:rPr>
        <w:t>我方如果中选，将保证履行磋商文件以及磋商文件修改书（如果有的话）中的全部责任和义务，将按照磋商文件的规定及时与贵方签署合同并按照合同约定履行自己的义务。</w:t>
      </w:r>
    </w:p>
    <w:p>
      <w:pPr>
        <w:numPr>
          <w:ilvl w:val="0"/>
          <w:numId w:val="4"/>
        </w:numPr>
        <w:tabs>
          <w:tab w:val="left" w:pos="0"/>
        </w:tabs>
        <w:spacing w:line="360" w:lineRule="auto"/>
        <w:ind w:left="0" w:firstLine="420" w:firstLineChars="200"/>
      </w:pPr>
      <w:r>
        <w:rPr>
          <w:rFonts w:hint="eastAsia"/>
        </w:rPr>
        <w:t>所有与本磋商采购有关的函件请发往我方下列地址：</w:t>
      </w:r>
    </w:p>
    <w:p>
      <w:pPr>
        <w:tabs>
          <w:tab w:val="left" w:pos="0"/>
          <w:tab w:val="left" w:pos="720"/>
        </w:tabs>
        <w:spacing w:line="360" w:lineRule="auto"/>
        <w:ind w:left="420"/>
      </w:pPr>
    </w:p>
    <w:p>
      <w:pPr>
        <w:tabs>
          <w:tab w:val="left" w:pos="0"/>
        </w:tabs>
        <w:spacing w:line="360" w:lineRule="auto"/>
        <w:ind w:firstLine="420" w:firstLineChars="200"/>
      </w:pPr>
      <w:r>
        <w:rPr>
          <w:rFonts w:hint="eastAsia"/>
        </w:rPr>
        <w:t>地址：                        邮政编码：　　　　　　　　　　　　　　　　</w:t>
      </w:r>
    </w:p>
    <w:p>
      <w:pPr>
        <w:tabs>
          <w:tab w:val="left" w:pos="0"/>
        </w:tabs>
        <w:spacing w:line="360" w:lineRule="auto"/>
        <w:ind w:firstLine="420" w:firstLineChars="200"/>
        <w:rPr>
          <w:u w:val="single"/>
        </w:rPr>
      </w:pPr>
      <w:r>
        <w:rPr>
          <w:rFonts w:hint="eastAsia"/>
        </w:rPr>
        <w:t>电话：                        传真：                    邮箱：</w:t>
      </w:r>
      <w:r>
        <w:rPr>
          <w:rFonts w:hint="eastAsia"/>
          <w:u w:val="single"/>
        </w:rPr>
        <w:t>　　</w:t>
      </w:r>
    </w:p>
    <w:p>
      <w:pPr>
        <w:tabs>
          <w:tab w:val="left" w:pos="0"/>
        </w:tabs>
        <w:spacing w:line="360" w:lineRule="auto"/>
        <w:ind w:firstLine="420" w:firstLineChars="200"/>
      </w:pPr>
      <w:r>
        <w:rPr>
          <w:rFonts w:hint="eastAsia"/>
        </w:rPr>
        <w:t>代表姓名：                    职务：                    手机号码：</w:t>
      </w:r>
      <w:r>
        <w:rPr>
          <w:rFonts w:hint="eastAsia"/>
          <w:u w:val="single"/>
        </w:rPr>
        <w:t>　　　　</w:t>
      </w:r>
    </w:p>
    <w:p>
      <w:pPr>
        <w:spacing w:line="360" w:lineRule="auto"/>
        <w:ind w:right="25" w:rightChars="12" w:firstLine="3885" w:firstLineChars="1850"/>
      </w:pPr>
    </w:p>
    <w:p>
      <w:pPr>
        <w:spacing w:line="360" w:lineRule="auto"/>
        <w:ind w:right="25" w:rightChars="12" w:firstLine="3885" w:firstLineChars="1850"/>
      </w:pPr>
      <w:r>
        <w:rPr>
          <w:rFonts w:hint="eastAsia"/>
        </w:rPr>
        <w:t>磋商供应商（法人公章）：</w:t>
      </w:r>
    </w:p>
    <w:p>
      <w:pPr>
        <w:spacing w:line="360" w:lineRule="auto"/>
        <w:ind w:right="25" w:rightChars="12" w:firstLine="3885" w:firstLineChars="1850"/>
      </w:pPr>
      <w:r>
        <w:rPr>
          <w:rFonts w:hint="eastAsia"/>
        </w:rPr>
        <w:t>授权代表（签字或盖章）：</w:t>
      </w:r>
    </w:p>
    <w:p>
      <w:pPr>
        <w:widowControl/>
        <w:ind w:firstLine="3885" w:firstLineChars="1850"/>
        <w:jc w:val="left"/>
        <w:rPr>
          <w:b/>
        </w:rPr>
      </w:pPr>
      <w:r>
        <w:rPr>
          <w:rFonts w:hint="eastAsia"/>
        </w:rPr>
        <w:t>日期：</w:t>
      </w:r>
    </w:p>
    <w:p>
      <w:pPr>
        <w:widowControl/>
        <w:jc w:val="left"/>
        <w:rPr>
          <w:b/>
        </w:rPr>
      </w:pPr>
      <w:r>
        <w:rPr>
          <w:rFonts w:hint="eastAsia"/>
          <w:b/>
        </w:rPr>
        <w:t>二、法人营业执照复印件</w:t>
      </w:r>
    </w:p>
    <w:p>
      <w:pPr>
        <w:widowControl/>
        <w:jc w:val="left"/>
        <w:rPr>
          <w:b/>
        </w:rPr>
      </w:pPr>
      <w:r>
        <mc:AlternateContent>
          <mc:Choice Requires="wps">
            <w:drawing>
              <wp:inline distT="0" distB="0" distL="0" distR="0">
                <wp:extent cx="2333625" cy="1584325"/>
                <wp:effectExtent l="7620" t="5715" r="11430" b="10160"/>
                <wp:docPr id="7"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附营业执照复印件</w:t>
                            </w:r>
                          </w:p>
                          <w:p>
                            <w:pPr>
                              <w:pStyle w:val="771"/>
                              <w:ind w:firstLine="422"/>
                              <w:jc w:val="center"/>
                              <w:rPr>
                                <w:b/>
                                <w:szCs w:val="21"/>
                              </w:rPr>
                            </w:pPr>
                            <w:r>
                              <w:rPr>
                                <w:rFonts w:hint="eastAsia" w:hAnsi="宋体"/>
                                <w:b/>
                                <w:szCs w:val="21"/>
                              </w:rPr>
                              <w:t>（须加盖公章）</w:t>
                            </w:r>
                          </w:p>
                        </w:txbxContent>
                      </wps:txbx>
                      <wps:bodyPr rot="0" vert="horz" wrap="square" lIns="91440" tIns="45720" rIns="91440" bIns="45720" anchor="t" anchorCtr="0" upright="1">
                        <a:noAutofit/>
                      </wps:bodyPr>
                    </wps:wsp>
                  </a:graphicData>
                </a:graphic>
              </wp:inline>
            </w:drawing>
          </mc:Choice>
          <mc:Fallback>
            <w:pict>
              <v:shape id="流程图: 可选过程 6" o:spid="_x0000_s1026" o:spt="176" type="#_x0000_t176" style="height:124.75pt;width:183.75pt;" fillcolor="#FFFFFF" filled="t" stroked="t" coordsize="21600,21600" o:gfxdata="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3+/4R1gAAAAUB&#10;AAAPAAAAAAAAAAEAIAAAADgAAABkcnMvZG93bnJldi54bWxQSwECFAAUAAAACACHTuJAdp6W6kAC&#10;AABTBAAADgAAAAAAAAABACAAAAA7AQAAZHJzL2Uyb0RvYy54bWxQSwUGAAAAAAYABgBZAQAA7QUA&#10;AAAA&#10;">
                <v:fill on="t" focussize="0,0"/>
                <v:stroke color="#000000" miterlimit="8" joinstyle="miter"/>
                <v:imagedata o:title=""/>
                <o:lock v:ext="edit" aspectratio="f"/>
                <v:textbo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附营业执照复印件</w:t>
                      </w:r>
                    </w:p>
                    <w:p>
                      <w:pPr>
                        <w:pStyle w:val="771"/>
                        <w:ind w:firstLine="422"/>
                        <w:jc w:val="center"/>
                        <w:rPr>
                          <w:b/>
                          <w:szCs w:val="21"/>
                        </w:rPr>
                      </w:pPr>
                      <w:r>
                        <w:rPr>
                          <w:rFonts w:hint="eastAsia" w:hAnsi="宋体"/>
                          <w:b/>
                          <w:szCs w:val="21"/>
                        </w:rPr>
                        <w:t>（须加盖公章）</w:t>
                      </w:r>
                    </w:p>
                  </w:txbxContent>
                </v:textbox>
                <w10:wrap type="none"/>
                <w10:anchorlock/>
              </v:shape>
            </w:pict>
          </mc:Fallback>
        </mc:AlternateContent>
      </w:r>
    </w:p>
    <w:p>
      <w:pPr>
        <w:widowControl/>
        <w:jc w:val="left"/>
        <w:rPr>
          <w:b/>
        </w:rPr>
      </w:pPr>
    </w:p>
    <w:p>
      <w:pPr>
        <w:widowControl/>
        <w:jc w:val="left"/>
        <w:rPr>
          <w:b/>
        </w:rPr>
      </w:pPr>
    </w:p>
    <w:p>
      <w:pPr>
        <w:spacing w:line="360" w:lineRule="auto"/>
        <w:jc w:val="left"/>
        <w:rPr>
          <w:b/>
          <w:szCs w:val="21"/>
        </w:rPr>
      </w:pPr>
      <w:r>
        <w:rPr>
          <w:rFonts w:hint="eastAsia" w:asciiTheme="minorEastAsia" w:hAnsiTheme="minorEastAsia" w:eastAsiaTheme="minorEastAsia"/>
          <w:b/>
        </w:rPr>
        <w:t>三、</w:t>
      </w:r>
      <w:r>
        <w:rPr>
          <w:rFonts w:hint="eastAsia"/>
          <w:b/>
          <w:szCs w:val="21"/>
        </w:rPr>
        <w:t>法定代表人证明书格式</w:t>
      </w:r>
    </w:p>
    <w:p>
      <w:pPr>
        <w:tabs>
          <w:tab w:val="left" w:pos="8364"/>
        </w:tabs>
        <w:snapToGrid w:val="0"/>
        <w:spacing w:line="360" w:lineRule="auto"/>
        <w:ind w:right="-57"/>
        <w:jc w:val="center"/>
        <w:rPr>
          <w:rFonts w:ascii="宋体" w:hAnsi="宋体"/>
          <w:szCs w:val="21"/>
        </w:rPr>
      </w:pPr>
      <w:r>
        <w:rPr>
          <w:rFonts w:hint="eastAsia" w:ascii="宋体" w:hAnsi="宋体"/>
          <w:szCs w:val="21"/>
        </w:rPr>
        <w:t>法定代表人身份证明书</w:t>
      </w:r>
    </w:p>
    <w:p>
      <w:pPr>
        <w:tabs>
          <w:tab w:val="left" w:pos="8364"/>
        </w:tabs>
        <w:snapToGrid w:val="0"/>
        <w:spacing w:line="360" w:lineRule="auto"/>
        <w:ind w:right="-57" w:firstLine="840" w:firstLineChars="400"/>
        <w:rPr>
          <w:rFonts w:ascii="宋体" w:hAnsi="宋体"/>
          <w:szCs w:val="21"/>
          <w:u w:val="single"/>
        </w:rPr>
      </w:pPr>
    </w:p>
    <w:p>
      <w:pPr>
        <w:tabs>
          <w:tab w:val="left" w:pos="8364"/>
        </w:tabs>
        <w:snapToGrid w:val="0"/>
        <w:spacing w:line="360" w:lineRule="auto"/>
        <w:ind w:right="-57" w:firstLine="840" w:firstLineChars="400"/>
        <w:rPr>
          <w:rFonts w:ascii="宋体" w:hAnsi="宋体"/>
          <w:szCs w:val="21"/>
        </w:rPr>
      </w:pPr>
      <w:r>
        <w:rPr>
          <w:rFonts w:hint="eastAsia" w:ascii="宋体" w:hAnsi="宋体"/>
          <w:szCs w:val="21"/>
        </w:rPr>
        <w:t>先生/女士，现任我单位职务，为法定代表人，特此证明。</w:t>
      </w:r>
    </w:p>
    <w:p>
      <w:pPr>
        <w:pStyle w:val="771"/>
        <w:spacing w:line="440" w:lineRule="exact"/>
        <w:ind w:firstLine="210" w:firstLineChars="100"/>
        <w:rPr>
          <w:szCs w:val="21"/>
        </w:rPr>
      </w:pPr>
      <w:r>
        <w:rPr>
          <w:rFonts w:hint="eastAsia"/>
          <w:szCs w:val="21"/>
        </w:rPr>
        <w:t>签发日期：单位：</w:t>
      </w:r>
      <w:r>
        <w:rPr>
          <w:rFonts w:hint="eastAsia"/>
          <w:b/>
          <w:szCs w:val="21"/>
        </w:rPr>
        <w:t>（盖章）</w:t>
      </w:r>
    </w:p>
    <w:p>
      <w:pPr>
        <w:pStyle w:val="771"/>
        <w:spacing w:line="440" w:lineRule="exact"/>
        <w:ind w:firstLine="210" w:firstLineChars="100"/>
        <w:rPr>
          <w:szCs w:val="21"/>
        </w:rPr>
      </w:pPr>
      <w:r>
        <w:rPr>
          <w:rFonts w:hint="eastAsia"/>
          <w:szCs w:val="21"/>
        </w:rPr>
        <w:t>附：代表人性别：年龄：身份证号码：</w:t>
      </w:r>
    </w:p>
    <w:p>
      <w:pPr>
        <w:pStyle w:val="771"/>
        <w:spacing w:line="440" w:lineRule="exact"/>
        <w:ind w:firstLine="210" w:firstLineChars="100"/>
        <w:rPr>
          <w:szCs w:val="21"/>
        </w:rPr>
      </w:pPr>
      <w:r>
        <w:rPr>
          <w:rFonts w:hint="eastAsia"/>
          <w:szCs w:val="21"/>
        </w:rPr>
        <w:t>联系电话：</w:t>
      </w:r>
    </w:p>
    <w:p>
      <w:pPr>
        <w:pStyle w:val="771"/>
        <w:spacing w:line="440" w:lineRule="exact"/>
        <w:ind w:firstLine="210" w:firstLineChars="100"/>
        <w:rPr>
          <w:szCs w:val="21"/>
        </w:rPr>
      </w:pPr>
      <w:r>
        <w:rPr>
          <w:rFonts w:hint="eastAsia"/>
          <w:szCs w:val="21"/>
        </w:rPr>
        <w:t>营业执照号码：经济性质：</w:t>
      </w:r>
    </w:p>
    <w:p>
      <w:pPr>
        <w:pStyle w:val="771"/>
        <w:spacing w:line="440" w:lineRule="exact"/>
        <w:ind w:firstLine="210" w:firstLineChars="100"/>
        <w:rPr>
          <w:szCs w:val="21"/>
        </w:rPr>
      </w:pPr>
      <w:r>
        <w:rPr>
          <w:rFonts w:hint="eastAsia"/>
          <w:szCs w:val="21"/>
        </w:rPr>
        <w:t>注册资本：</w:t>
      </w:r>
    </w:p>
    <w:p>
      <w:pPr>
        <w:pStyle w:val="771"/>
        <w:spacing w:line="440" w:lineRule="exact"/>
        <w:ind w:firstLine="210" w:firstLineChars="100"/>
        <w:rPr>
          <w:szCs w:val="21"/>
        </w:rPr>
      </w:pPr>
      <w:r>
        <w:rPr>
          <w:rFonts w:hint="eastAsia"/>
          <w:szCs w:val="21"/>
        </w:rPr>
        <w:t>主营（产）：</w:t>
      </w:r>
    </w:p>
    <w:p>
      <w:pPr>
        <w:pStyle w:val="771"/>
        <w:spacing w:line="440" w:lineRule="exact"/>
        <w:ind w:firstLine="210" w:firstLineChars="100"/>
        <w:rPr>
          <w:szCs w:val="21"/>
        </w:rPr>
      </w:pPr>
      <w:r>
        <w:rPr>
          <w:rFonts w:hint="eastAsia"/>
          <w:szCs w:val="21"/>
        </w:rPr>
        <w:t>兼营（产）：</w:t>
      </w:r>
    </w:p>
    <w:p>
      <w:pPr>
        <w:pStyle w:val="771"/>
        <w:spacing w:line="440" w:lineRule="exact"/>
        <w:rPr>
          <w:szCs w:val="21"/>
        </w:rPr>
      </w:pPr>
      <w:r>
        <w:rPr>
          <w:rFonts w:hint="eastAsia"/>
          <w:szCs w:val="21"/>
        </w:rPr>
        <w:t>说明：</w:t>
      </w:r>
      <w:r>
        <w:rPr>
          <w:szCs w:val="21"/>
        </w:rPr>
        <w:t>1.</w:t>
      </w:r>
      <w:r>
        <w:rPr>
          <w:rFonts w:hint="eastAsia"/>
          <w:szCs w:val="21"/>
        </w:rPr>
        <w:t>法定代表人为企业事业单位、国家机关、社会团体的主要行政负责人。</w:t>
      </w:r>
    </w:p>
    <w:p>
      <w:pPr>
        <w:pStyle w:val="771"/>
        <w:spacing w:line="440" w:lineRule="exact"/>
        <w:rPr>
          <w:szCs w:val="21"/>
        </w:rPr>
      </w:pPr>
      <w:r>
        <w:rPr>
          <w:szCs w:val="21"/>
        </w:rPr>
        <w:t xml:space="preserve">      2.</w:t>
      </w:r>
      <w:r>
        <w:rPr>
          <w:rFonts w:hint="eastAsia"/>
          <w:szCs w:val="21"/>
        </w:rPr>
        <w:t>内容必须填写真实、清楚、涂改无效，不得转让、买卖。</w:t>
      </w:r>
    </w:p>
    <w:p>
      <w:pPr>
        <w:pStyle w:val="771"/>
        <w:spacing w:line="440" w:lineRule="exact"/>
        <w:ind w:firstLine="630" w:firstLineChars="300"/>
        <w:rPr>
          <w:szCs w:val="21"/>
        </w:rPr>
      </w:pPr>
      <w:r>
        <w:rPr>
          <w:szCs w:val="21"/>
        </w:rPr>
        <w:t>3.</w:t>
      </w:r>
      <w:r>
        <w:rPr>
          <w:rFonts w:hint="eastAsia"/>
          <w:szCs w:val="21"/>
        </w:rPr>
        <w:t>将此证明书提交对方作为合同附件</w:t>
      </w:r>
      <w:r>
        <w:rPr>
          <w:rFonts w:hint="eastAsia"/>
          <w:b/>
          <w:szCs w:val="21"/>
        </w:rPr>
        <w:t>。</w:t>
      </w:r>
    </w:p>
    <w:p>
      <w:pPr>
        <w:pStyle w:val="771"/>
        <w:rPr>
          <w:szCs w:val="21"/>
        </w:rPr>
      </w:pPr>
      <w:r>
        <w:rPr>
          <w:b/>
          <w:sz w:val="28"/>
          <w:szCs w:val="28"/>
        </w:rPr>
        <mc:AlternateContent>
          <mc:Choice Requires="wpg">
            <w:drawing>
              <wp:inline distT="0" distB="0" distL="0" distR="0">
                <wp:extent cx="4998085" cy="1629410"/>
                <wp:effectExtent l="7620" t="13335" r="13970" b="5080"/>
                <wp:docPr id="2" name="组合 8"/>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3" name="流程图: 可选过程 9"/>
                        <wps:cNvSpPr>
                          <a:spLocks noChangeArrowheads="1"/>
                        </wps:cNvSpPr>
                        <wps:spPr bwMode="auto">
                          <a:xfrm>
                            <a:off x="0" y="448"/>
                            <a:ext cx="23336" cy="15844"/>
                          </a:xfrm>
                          <a:prstGeom prst="flowChartAlternateProcess">
                            <a:avLst/>
                          </a:prstGeom>
                          <a:solidFill>
                            <a:srgbClr val="FFFFFF"/>
                          </a:solidFill>
                          <a:ln w="9525">
                            <a:solidFill>
                              <a:srgbClr val="000000"/>
                            </a:solidFill>
                            <a:miter lim="800000"/>
                          </a:ln>
                        </wps:spPr>
                        <wps:txb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法定代表人身份证复印件</w:t>
                              </w:r>
                            </w:p>
                            <w:p>
                              <w:pPr>
                                <w:pStyle w:val="771"/>
                                <w:jc w:val="center"/>
                                <w:rPr>
                                  <w:szCs w:val="21"/>
                                </w:rPr>
                              </w:pPr>
                              <w:r>
                                <w:rPr>
                                  <w:rFonts w:hint="eastAsia" w:hAnsi="宋体"/>
                                  <w:szCs w:val="21"/>
                                </w:rPr>
                                <w:t>正面</w:t>
                              </w:r>
                            </w:p>
                          </w:txbxContent>
                        </wps:txbx>
                        <wps:bodyPr rot="0" vert="horz" wrap="square" lIns="91440" tIns="45720" rIns="91440" bIns="45720" anchor="t" anchorCtr="0" upright="1">
                          <a:noAutofit/>
                        </wps:bodyPr>
                      </wps:wsp>
                      <wps:wsp>
                        <wps:cNvPr id="6" name="流程图: 可选过程 10"/>
                        <wps:cNvSpPr>
                          <a:spLocks noChangeArrowheads="1"/>
                        </wps:cNvSpPr>
                        <wps:spPr bwMode="auto">
                          <a:xfrm>
                            <a:off x="26646" y="0"/>
                            <a:ext cx="23336" cy="15843"/>
                          </a:xfrm>
                          <a:prstGeom prst="flowChartAlternateProcess">
                            <a:avLst/>
                          </a:prstGeom>
                          <a:solidFill>
                            <a:srgbClr val="FFFFFF"/>
                          </a:solidFill>
                          <a:ln w="9525">
                            <a:solidFill>
                              <a:srgbClr val="000000"/>
                            </a:solidFill>
                            <a:miter lim="800000"/>
                          </a:ln>
                        </wps:spPr>
                        <wps:txb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法定代表人身份证复印件</w:t>
                              </w:r>
                            </w:p>
                            <w:p>
                              <w:pPr>
                                <w:pStyle w:val="771"/>
                                <w:jc w:val="center"/>
                                <w:rPr>
                                  <w:szCs w:val="21"/>
                                </w:rPr>
                              </w:pPr>
                              <w:r>
                                <w:rPr>
                                  <w:rFonts w:hint="eastAsia" w:hAnsi="宋体"/>
                                  <w:szCs w:val="21"/>
                                </w:rPr>
                                <w:t>反面</w:t>
                              </w:r>
                            </w:p>
                          </w:txbxContent>
                        </wps:txbx>
                        <wps:bodyPr rot="0" vert="horz" wrap="square" lIns="91440" tIns="45720" rIns="91440" bIns="45720" anchor="t" anchorCtr="0" upright="1">
                          <a:noAutofit/>
                        </wps:bodyPr>
                      </wps:wsp>
                    </wpg:wgp>
                  </a:graphicData>
                </a:graphic>
              </wp:inline>
            </w:drawing>
          </mc:Choice>
          <mc:Fallback>
            <w:pict>
              <v:group id="组合 8" o:spid="_x0000_s1026" o:spt="203" style="height:128.3pt;width:393.55pt;" coordsize="49982,16292" o:gfxdata="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BYAAABkcnMvUEsBAhQAFAAAAAgAh07iQP9pDDvXAAAABQEAAA8AAAAAAAAAAQAgAAAA&#10;OAAAAGRycy9kb3ducmV2LnhtbFBLAQIUABQAAAAIAIdO4kAvn7EX2gIAAEIIAAAOAAAAAAAAAAEA&#10;IAAAADwBAABkcnMvZTJvRG9jLnhtbFBLBQYAAAAABgAGAFkBAACIBgAAAAA=&#10;">
                <o:lock v:ext="edit" aspectratio="f"/>
                <v:shape id="流程图: 可选过程 9" o:spid="_x0000_s1026" o:spt="176" type="#_x0000_t176" style="position:absolute;left:0;top:448;height:15844;width:23336;" fillcolor="#FFFFFF" filled="t" stroked="t" coordsize="21600,21600" o:gfxdata="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q0Ldb0AAADa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法定代表人身份证复印件</w:t>
                        </w:r>
                      </w:p>
                      <w:p>
                        <w:pPr>
                          <w:pStyle w:val="771"/>
                          <w:jc w:val="center"/>
                          <w:rPr>
                            <w:szCs w:val="21"/>
                          </w:rPr>
                        </w:pPr>
                        <w:r>
                          <w:rPr>
                            <w:rFonts w:hint="eastAsia" w:hAnsi="宋体"/>
                            <w:szCs w:val="21"/>
                          </w:rPr>
                          <w:t>正面</w:t>
                        </w:r>
                      </w:p>
                    </w:txbxContent>
                  </v:textbox>
                </v:shape>
                <v:shape id="流程图: 可选过程 10" o:spid="_x0000_s1026" o:spt="176" type="#_x0000_t176" style="position:absolute;left:26646;top:0;height:15843;width:23336;" fillcolor="#FFFFFF" filled="t" stroked="t" coordsize="21600,21600" o:gfxdata="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tqo7b0AAADa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w:txbxContent>
                      <w:p>
                        <w:pPr>
                          <w:pStyle w:val="771"/>
                          <w:jc w:val="center"/>
                          <w:rPr>
                            <w:rFonts w:hAnsi="宋体"/>
                            <w:szCs w:val="21"/>
                          </w:rPr>
                        </w:pPr>
                      </w:p>
                      <w:p>
                        <w:pPr>
                          <w:pStyle w:val="771"/>
                          <w:jc w:val="center"/>
                          <w:rPr>
                            <w:rFonts w:hAnsi="宋体"/>
                            <w:szCs w:val="21"/>
                          </w:rPr>
                        </w:pPr>
                      </w:p>
                      <w:p>
                        <w:pPr>
                          <w:pStyle w:val="771"/>
                          <w:jc w:val="center"/>
                          <w:rPr>
                            <w:rFonts w:hAnsi="宋体"/>
                            <w:szCs w:val="21"/>
                          </w:rPr>
                        </w:pPr>
                      </w:p>
                      <w:p>
                        <w:pPr>
                          <w:pStyle w:val="771"/>
                          <w:jc w:val="center"/>
                          <w:rPr>
                            <w:rFonts w:hAnsi="宋体"/>
                            <w:szCs w:val="21"/>
                          </w:rPr>
                        </w:pPr>
                        <w:r>
                          <w:rPr>
                            <w:rFonts w:hint="eastAsia" w:hAnsi="宋体"/>
                            <w:szCs w:val="21"/>
                          </w:rPr>
                          <w:t>法定代表人身份证复印件</w:t>
                        </w:r>
                      </w:p>
                      <w:p>
                        <w:pPr>
                          <w:pStyle w:val="771"/>
                          <w:jc w:val="center"/>
                          <w:rPr>
                            <w:szCs w:val="21"/>
                          </w:rPr>
                        </w:pPr>
                        <w:r>
                          <w:rPr>
                            <w:rFonts w:hint="eastAsia" w:hAnsi="宋体"/>
                            <w:szCs w:val="21"/>
                          </w:rPr>
                          <w:t>反面</w:t>
                        </w:r>
                      </w:p>
                    </w:txbxContent>
                  </v:textbox>
                </v:shape>
                <w10:wrap type="none"/>
                <w10:anchorlock/>
              </v:group>
            </w:pict>
          </mc:Fallback>
        </mc:AlternateContent>
      </w:r>
    </w:p>
    <w:p>
      <w:pPr>
        <w:pStyle w:val="771"/>
        <w:rPr>
          <w:szCs w:val="21"/>
        </w:rPr>
      </w:pPr>
    </w:p>
    <w:p>
      <w:pPr>
        <w:pStyle w:val="771"/>
        <w:rPr>
          <w:szCs w:val="21"/>
        </w:rPr>
      </w:pPr>
    </w:p>
    <w:p>
      <w:pPr>
        <w:pStyle w:val="771"/>
        <w:rPr>
          <w:b/>
          <w:szCs w:val="21"/>
        </w:rPr>
      </w:pPr>
      <w:r>
        <w:rPr>
          <w:b/>
          <w:szCs w:val="21"/>
        </w:rPr>
        <w:t xml:space="preserve"> (</w:t>
      </w:r>
      <w:r>
        <w:rPr>
          <w:rFonts w:hint="eastAsia"/>
          <w:b/>
          <w:szCs w:val="21"/>
        </w:rPr>
        <w:t>为避免废标，请供应商务必提供本附件</w:t>
      </w:r>
      <w:r>
        <w:rPr>
          <w:b/>
          <w:szCs w:val="21"/>
        </w:rPr>
        <w:t>)</w:t>
      </w:r>
    </w:p>
    <w:p>
      <w:pPr>
        <w:pStyle w:val="771"/>
        <w:rPr>
          <w:b/>
          <w:sz w:val="28"/>
          <w:szCs w:val="28"/>
        </w:rPr>
      </w:pPr>
    </w:p>
    <w:p>
      <w:pPr>
        <w:pStyle w:val="771"/>
        <w:rPr>
          <w:b/>
          <w:sz w:val="28"/>
          <w:szCs w:val="28"/>
        </w:rPr>
      </w:pPr>
    </w:p>
    <w:p>
      <w:pPr>
        <w:widowControl/>
        <w:jc w:val="left"/>
        <w:rPr>
          <w:rFonts w:ascii="宋体" w:hAnsi="宋体"/>
          <w:szCs w:val="21"/>
        </w:rPr>
      </w:pPr>
      <w:r>
        <w:rPr>
          <w:rFonts w:ascii="宋体" w:hAnsi="宋体"/>
          <w:szCs w:val="21"/>
        </w:rPr>
        <w:br w:type="page"/>
      </w:r>
    </w:p>
    <w:p>
      <w:pPr>
        <w:spacing w:line="360" w:lineRule="auto"/>
        <w:jc w:val="left"/>
        <w:rPr>
          <w:b/>
          <w:szCs w:val="21"/>
        </w:rPr>
      </w:pPr>
      <w:r>
        <w:rPr>
          <w:rFonts w:hint="eastAsia" w:ascii="宋体" w:hAnsi="宋体"/>
          <w:b/>
          <w:color w:val="000000"/>
          <w:szCs w:val="21"/>
        </w:rPr>
        <w:t>四、</w:t>
      </w:r>
      <w:r>
        <w:rPr>
          <w:rFonts w:hint="eastAsia"/>
          <w:b/>
          <w:szCs w:val="21"/>
        </w:rPr>
        <w:t>法定代表人授权委托书格式</w:t>
      </w:r>
    </w:p>
    <w:p>
      <w:pPr>
        <w:spacing w:line="360" w:lineRule="auto"/>
        <w:jc w:val="left"/>
        <w:rPr>
          <w:b/>
          <w:i/>
          <w:szCs w:val="21"/>
        </w:rPr>
      </w:pPr>
      <w:r>
        <w:rPr>
          <w:rFonts w:hint="eastAsia"/>
          <w:b/>
          <w:i/>
          <w:szCs w:val="21"/>
        </w:rPr>
        <w:t>（注：授权书一份封装在响应文件中，授权代表另需携带一份作为递交响应文件及参与磋商的入场证明）</w:t>
      </w:r>
    </w:p>
    <w:p>
      <w:pPr>
        <w:spacing w:line="360" w:lineRule="auto"/>
        <w:jc w:val="left"/>
        <w:rPr>
          <w:szCs w:val="21"/>
        </w:rPr>
      </w:pPr>
    </w:p>
    <w:p>
      <w:pPr>
        <w:tabs>
          <w:tab w:val="left" w:pos="8364"/>
        </w:tabs>
        <w:snapToGrid w:val="0"/>
        <w:spacing w:line="360" w:lineRule="auto"/>
        <w:ind w:right="-58"/>
        <w:jc w:val="center"/>
        <w:rPr>
          <w:rFonts w:ascii="宋体" w:hAnsi="宋体"/>
          <w:szCs w:val="21"/>
        </w:rPr>
      </w:pPr>
      <w:r>
        <w:rPr>
          <w:rFonts w:hint="eastAsia" w:ascii="宋体" w:hAnsi="宋体"/>
          <w:szCs w:val="21"/>
        </w:rPr>
        <w:t>法定代表人授权书</w:t>
      </w:r>
    </w:p>
    <w:p>
      <w:pPr>
        <w:tabs>
          <w:tab w:val="left" w:pos="8364"/>
        </w:tabs>
        <w:snapToGrid w:val="0"/>
        <w:spacing w:line="360" w:lineRule="auto"/>
        <w:ind w:right="-58"/>
        <w:jc w:val="center"/>
        <w:rPr>
          <w:rFonts w:ascii="宋体" w:hAnsi="宋体"/>
          <w:szCs w:val="21"/>
        </w:rPr>
      </w:pPr>
    </w:p>
    <w:p>
      <w:pPr>
        <w:spacing w:line="360" w:lineRule="auto"/>
        <w:ind w:firstLine="420" w:firstLineChars="200"/>
        <w:rPr>
          <w:szCs w:val="21"/>
        </w:rPr>
      </w:pPr>
      <w:r>
        <w:rPr>
          <w:szCs w:val="21"/>
        </w:rPr>
        <w:t>本人（姓名）系（</w:t>
      </w:r>
      <w:r>
        <w:rPr>
          <w:rFonts w:hint="eastAsia"/>
          <w:szCs w:val="21"/>
        </w:rPr>
        <w:t>供应商</w:t>
      </w:r>
      <w:r>
        <w:rPr>
          <w:szCs w:val="21"/>
        </w:rPr>
        <w:t>名称）的法定代表人，现委托（姓名）为我方代理人。代理人根据授权，</w:t>
      </w:r>
      <w:r>
        <w:rPr>
          <w:rFonts w:hint="eastAsia"/>
          <w:szCs w:val="21"/>
        </w:rPr>
        <w:t>全权代表本公司参与</w:t>
      </w:r>
      <w:r>
        <w:rPr>
          <w:szCs w:val="21"/>
        </w:rPr>
        <w:t>（项目名称</w:t>
      </w:r>
      <w:r>
        <w:rPr>
          <w:rFonts w:hint="eastAsia"/>
          <w:szCs w:val="21"/>
        </w:rPr>
        <w:t>、项目编号</w:t>
      </w:r>
      <w:r>
        <w:rPr>
          <w:szCs w:val="21"/>
        </w:rPr>
        <w:t>）</w:t>
      </w:r>
      <w:r>
        <w:rPr>
          <w:rFonts w:hint="eastAsia"/>
          <w:szCs w:val="21"/>
        </w:rPr>
        <w:t>的磋商响应，</w:t>
      </w:r>
      <w:r>
        <w:rPr>
          <w:szCs w:val="21"/>
        </w:rPr>
        <w:t>以我方名义签署、澄清</w:t>
      </w:r>
      <w:r>
        <w:rPr>
          <w:rFonts w:hint="eastAsia"/>
          <w:szCs w:val="21"/>
        </w:rPr>
        <w:t>、说明、补正</w:t>
      </w:r>
      <w:r>
        <w:rPr>
          <w:szCs w:val="21"/>
        </w:rPr>
        <w:t>、递交、撤回、修改</w:t>
      </w:r>
      <w:r>
        <w:rPr>
          <w:rFonts w:hint="eastAsia"/>
          <w:szCs w:val="21"/>
        </w:rPr>
        <w:t>磋商响应</w:t>
      </w:r>
      <w:r>
        <w:rPr>
          <w:szCs w:val="21"/>
        </w:rPr>
        <w:t>文件、</w:t>
      </w:r>
      <w:r>
        <w:rPr>
          <w:rFonts w:hint="eastAsia"/>
        </w:rPr>
        <w:t>接受采购人的各类通知及答复、领取《中选通知书》、签署合同及</w:t>
      </w:r>
      <w:r>
        <w:rPr>
          <w:szCs w:val="21"/>
        </w:rPr>
        <w:t>处理有关事宜</w:t>
      </w:r>
      <w:r>
        <w:rPr>
          <w:rFonts w:hint="eastAsia"/>
          <w:szCs w:val="21"/>
        </w:rPr>
        <w:t>。在磋商响应过程中，该代理人代表我公司所签署的一切文件和处理与磋商有关的一切事务，我方均予以承认</w:t>
      </w:r>
      <w:r>
        <w:rPr>
          <w:szCs w:val="21"/>
        </w:rPr>
        <w:t>，其法律后果由我方承担。</w:t>
      </w:r>
    </w:p>
    <w:p>
      <w:pPr>
        <w:pStyle w:val="771"/>
        <w:spacing w:line="480" w:lineRule="exact"/>
        <w:rPr>
          <w:szCs w:val="21"/>
        </w:rPr>
      </w:pPr>
      <w:r>
        <w:rPr>
          <w:rFonts w:hint="eastAsia"/>
          <w:szCs w:val="21"/>
        </w:rPr>
        <w:t>授权单位：</w:t>
      </w:r>
      <w:r>
        <w:rPr>
          <w:rFonts w:hint="eastAsia"/>
          <w:b/>
          <w:szCs w:val="21"/>
        </w:rPr>
        <w:t>（盖章）</w:t>
      </w:r>
      <w:r>
        <w:rPr>
          <w:rFonts w:hint="eastAsia"/>
          <w:szCs w:val="21"/>
        </w:rPr>
        <w:t>法定代表人：</w:t>
      </w:r>
      <w:r>
        <w:rPr>
          <w:rFonts w:hint="eastAsia"/>
          <w:b/>
          <w:szCs w:val="21"/>
        </w:rPr>
        <w:t>（签字或盖章）</w:t>
      </w:r>
    </w:p>
    <w:p>
      <w:pPr>
        <w:spacing w:line="360" w:lineRule="auto"/>
        <w:ind w:firstLine="420" w:firstLineChars="200"/>
        <w:rPr>
          <w:szCs w:val="21"/>
        </w:rPr>
      </w:pPr>
    </w:p>
    <w:p>
      <w:pPr>
        <w:spacing w:line="360" w:lineRule="auto"/>
        <w:ind w:firstLine="420" w:firstLineChars="200"/>
        <w:rPr>
          <w:szCs w:val="21"/>
        </w:rPr>
      </w:pPr>
      <w:r>
        <w:rPr>
          <w:rFonts w:hint="eastAsia"/>
          <w:szCs w:val="21"/>
        </w:rPr>
        <w:t>签发日期：年月日有效期：至年月日</w:t>
      </w:r>
    </w:p>
    <w:p>
      <w:pPr>
        <w:spacing w:line="360" w:lineRule="auto"/>
        <w:ind w:firstLine="420" w:firstLineChars="200"/>
        <w:rPr>
          <w:szCs w:val="21"/>
        </w:rPr>
      </w:pPr>
      <w:r>
        <w:rPr>
          <w:rFonts w:hint="eastAsia"/>
          <w:szCs w:val="21"/>
        </w:rPr>
        <w:t>附：代理人性别：年龄：职务：身份证号码：</w:t>
      </w:r>
    </w:p>
    <w:p>
      <w:pPr>
        <w:spacing w:line="360" w:lineRule="auto"/>
        <w:ind w:firstLine="420" w:firstLineChars="200"/>
        <w:rPr>
          <w:szCs w:val="21"/>
        </w:rPr>
      </w:pPr>
      <w:r>
        <w:rPr>
          <w:rFonts w:hint="eastAsia"/>
          <w:szCs w:val="21"/>
        </w:rPr>
        <w:t>联系电话：电子邮件：</w:t>
      </w:r>
    </w:p>
    <w:p>
      <w:pPr>
        <w:spacing w:line="360" w:lineRule="auto"/>
        <w:ind w:firstLine="420" w:firstLineChars="200"/>
        <w:rPr>
          <w:szCs w:val="21"/>
        </w:rPr>
      </w:pPr>
      <w:r>
        <w:rPr>
          <w:szCs w:val="21"/>
        </w:rPr>
        <w:t>代理人无转</w:t>
      </w:r>
      <w:r>
        <w:t>委托</w:t>
      </w:r>
      <w:r>
        <w:rPr>
          <w:szCs w:val="21"/>
        </w:rPr>
        <w:t>权。</w:t>
      </w:r>
    </w:p>
    <w:p>
      <w:pPr>
        <w:spacing w:line="360" w:lineRule="auto"/>
        <w:ind w:firstLine="420" w:firstLineChars="200"/>
        <w:rPr>
          <w:szCs w:val="21"/>
        </w:rPr>
      </w:pPr>
      <w:r>
        <w:rPr>
          <w:szCs w:val="21"/>
        </w:rPr>
        <mc:AlternateContent>
          <mc:Choice Requires="wps">
            <w:drawing>
              <wp:anchor distT="0" distB="0" distL="114300" distR="114300" simplePos="0" relativeHeight="251665408" behindDoc="0" locked="0" layoutInCell="1" allowOverlap="1">
                <wp:simplePos x="0" y="0"/>
                <wp:positionH relativeFrom="column">
                  <wp:posOffset>1771650</wp:posOffset>
                </wp:positionH>
                <wp:positionV relativeFrom="paragraph">
                  <wp:posOffset>734060</wp:posOffset>
                </wp:positionV>
                <wp:extent cx="2333625" cy="1584325"/>
                <wp:effectExtent l="0" t="0" r="28575" b="1587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pPr>
                              <w:pStyle w:val="770"/>
                              <w:jc w:val="center"/>
                              <w:rPr>
                                <w:sz w:val="21"/>
                                <w:szCs w:val="21"/>
                              </w:rPr>
                            </w:pPr>
                            <w:r>
                              <w:rPr>
                                <w:rFonts w:hint="eastAsia"/>
                                <w:sz w:val="21"/>
                                <w:szCs w:val="21"/>
                              </w:rPr>
                              <w:t>代理人身份证复印件</w:t>
                            </w:r>
                          </w:p>
                          <w:p>
                            <w:pPr>
                              <w:pStyle w:val="770"/>
                              <w:jc w:val="center"/>
                              <w:rPr>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9.5pt;margin-top:57.8pt;height:124.75pt;width:183.75pt;z-index:251665408;mso-width-relative:page;mso-height-relative:page;" fillcolor="#FFFFFF" filled="t" stroked="t" coordsize="21600,21600" o:gfxdata="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CQq3bZAAAACwEAAA8AAAAAAAAAAQAgAAAAOAAAAGRycy9kb3ducmV2LnhtbFBLAQIUABQAAAAI&#10;AIdO4kDcjYxeSAIAAF4EAAAOAAAAAAAAAAEAIAAAAD4BAABkcnMvZTJvRG9jLnhtbFBLBQYAAAAA&#10;BgAGAFkBAAD4BQAAAAA=&#10;">
                <v:fill on="t" focussize="0,0"/>
                <v:stroke color="#000000" miterlimit="8" joinstyle="miter"/>
                <v:imagedata o:title=""/>
                <o:lock v:ext="edit" aspectratio="f"/>
                <v:textbox>
                  <w:txbxContent>
                    <w:p>
                      <w:pPr>
                        <w:pStyle w:val="770"/>
                        <w:jc w:val="center"/>
                        <w:rPr>
                          <w:sz w:val="21"/>
                          <w:szCs w:val="21"/>
                        </w:rPr>
                      </w:pPr>
                      <w:r>
                        <w:rPr>
                          <w:rFonts w:hint="eastAsia"/>
                          <w:sz w:val="21"/>
                          <w:szCs w:val="21"/>
                        </w:rPr>
                        <w:t>代理人身份证复印件</w:t>
                      </w:r>
                    </w:p>
                    <w:p>
                      <w:pPr>
                        <w:pStyle w:val="770"/>
                        <w:jc w:val="center"/>
                        <w:rPr>
                          <w:sz w:val="21"/>
                          <w:szCs w:val="21"/>
                        </w:rPr>
                      </w:pPr>
                      <w:r>
                        <w:rPr>
                          <w:rFonts w:hint="eastAsia"/>
                          <w:sz w:val="21"/>
                          <w:szCs w:val="21"/>
                        </w:rPr>
                        <w:t>正面</w:t>
                      </w:r>
                    </w:p>
                  </w:txbxContent>
                </v:textbox>
              </v:shape>
            </w:pict>
          </mc:Fallback>
        </mc:AlternateContent>
      </w:r>
    </w:p>
    <w:p>
      <w:pPr>
        <w:spacing w:line="360" w:lineRule="auto"/>
        <w:ind w:firstLine="420" w:firstLineChars="200"/>
        <w:rPr>
          <w:szCs w:val="21"/>
        </w:rPr>
      </w:pPr>
    </w:p>
    <w:p>
      <w:pPr>
        <w:widowControl/>
        <w:jc w:val="left"/>
        <w:rPr>
          <w:color w:val="FF0000"/>
          <w:szCs w:val="21"/>
        </w:rPr>
      </w:pPr>
      <w:r>
        <w:rPr>
          <w:szCs w:val="21"/>
        </w:rPr>
        <mc:AlternateContent>
          <mc:Choice Requires="wps">
            <w:drawing>
              <wp:anchor distT="0" distB="0" distL="114300" distR="114300" simplePos="0" relativeHeight="251666432" behindDoc="0" locked="0" layoutInCell="1" allowOverlap="1">
                <wp:simplePos x="0" y="0"/>
                <wp:positionH relativeFrom="column">
                  <wp:posOffset>1771650</wp:posOffset>
                </wp:positionH>
                <wp:positionV relativeFrom="paragraph">
                  <wp:posOffset>2199005</wp:posOffset>
                </wp:positionV>
                <wp:extent cx="2333625" cy="1584325"/>
                <wp:effectExtent l="0" t="0" r="28575" b="1587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pPr>
                              <w:pStyle w:val="770"/>
                              <w:jc w:val="center"/>
                              <w:rPr>
                                <w:sz w:val="21"/>
                                <w:szCs w:val="21"/>
                              </w:rPr>
                            </w:pPr>
                            <w:r>
                              <w:rPr>
                                <w:rFonts w:hint="eastAsia"/>
                                <w:sz w:val="21"/>
                                <w:szCs w:val="21"/>
                              </w:rPr>
                              <w:t>代理人身份证复印件</w:t>
                            </w:r>
                          </w:p>
                          <w:p>
                            <w:pPr>
                              <w:pStyle w:val="770"/>
                              <w:jc w:val="center"/>
                              <w:rPr>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9.5pt;margin-top:173.15pt;height:124.75pt;width:183.75pt;z-index:251666432;mso-width-relative:page;mso-height-relative:page;" fillcolor="#FFFFFF" filled="t" stroked="t" coordsize="21600,21600" o:gfxdata="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p5hjH9oAAAALAQAADwAAAAAAAAABACAAAAA4AAAAZHJzL2Rvd25yZXYueG1sUEsBAhQAFAAAAAgA&#10;h07iQHh6GDFGAgAAXgQAAA4AAAAAAAAAAQAgAAAAPwEAAGRycy9lMm9Eb2MueG1sUEsFBgAAAAAG&#10;AAYAWQEAAPcFAAAAAA==&#10;">
                <v:fill on="t" focussize="0,0"/>
                <v:stroke color="#000000" miterlimit="8" joinstyle="miter"/>
                <v:imagedata o:title=""/>
                <o:lock v:ext="edit" aspectratio="f"/>
                <v:textbox>
                  <w:txbxContent>
                    <w:p>
                      <w:pPr>
                        <w:pStyle w:val="770"/>
                        <w:jc w:val="center"/>
                        <w:rPr>
                          <w:sz w:val="21"/>
                          <w:szCs w:val="21"/>
                        </w:rPr>
                      </w:pPr>
                      <w:r>
                        <w:rPr>
                          <w:rFonts w:hint="eastAsia"/>
                          <w:sz w:val="21"/>
                          <w:szCs w:val="21"/>
                        </w:rPr>
                        <w:t>代理人身份证复印件</w:t>
                      </w:r>
                    </w:p>
                    <w:p>
                      <w:pPr>
                        <w:pStyle w:val="770"/>
                        <w:jc w:val="center"/>
                        <w:rPr>
                          <w:sz w:val="21"/>
                          <w:szCs w:val="21"/>
                        </w:rPr>
                      </w:pPr>
                      <w:r>
                        <w:rPr>
                          <w:rFonts w:hint="eastAsia"/>
                          <w:sz w:val="21"/>
                          <w:szCs w:val="21"/>
                        </w:rPr>
                        <w:t>反面</w:t>
                      </w:r>
                    </w:p>
                  </w:txbxContent>
                </v:textbox>
              </v:shape>
            </w:pict>
          </mc:Fallback>
        </mc:AlternateContent>
      </w:r>
      <w:r>
        <w:rPr>
          <w:color w:val="FF0000"/>
          <w:szCs w:val="21"/>
        </w:rPr>
        <w:br w:type="page"/>
      </w:r>
    </w:p>
    <w:p>
      <w:pPr>
        <w:spacing w:line="360" w:lineRule="auto"/>
        <w:rPr>
          <w:b/>
        </w:rPr>
      </w:pPr>
      <w:r>
        <w:rPr>
          <w:rFonts w:hint="eastAsia" w:asciiTheme="minorEastAsia" w:hAnsiTheme="minorEastAsia" w:eastAsiaTheme="minorEastAsia"/>
          <w:b/>
          <w:szCs w:val="21"/>
        </w:rPr>
        <w:t>五、</w:t>
      </w:r>
      <w:r>
        <w:rPr>
          <w:rFonts w:hint="eastAsia"/>
          <w:b/>
        </w:rPr>
        <w:t>纳税人资质证明文件（须加盖供应商公章）</w:t>
      </w:r>
    </w:p>
    <w:p>
      <w:pPr>
        <w:spacing w:line="360" w:lineRule="auto"/>
      </w:pPr>
      <w:r>
        <w:rPr>
          <w:rFonts w:hint="eastAsia"/>
        </w:rPr>
        <w:t>供应商需提供其纳税人资质证明文件（如加盖“一般纳税人”印戳的税务登记证副本复印件或适用三证合一企业的经主管税务机关核对后退还纳税人留存的《增值税一般纳税人资格登记表》），如供应商不提供该证明文件，评委评审时可按供应商开具非增值专用发票等不利于供应商的评审价格进行评审。</w:t>
      </w:r>
    </w:p>
    <w:p>
      <w:pPr>
        <w:spacing w:line="360" w:lineRule="auto"/>
        <w:rPr>
          <w:b/>
        </w:rPr>
      </w:pPr>
      <w:r>
        <w:br w:type="page"/>
      </w:r>
      <w:r>
        <w:rPr>
          <w:rFonts w:hint="eastAsia" w:asciiTheme="minorEastAsia" w:hAnsiTheme="minorEastAsia" w:eastAsiaTheme="minorEastAsia"/>
          <w:b/>
        </w:rPr>
        <w:t>六、</w:t>
      </w:r>
      <w:r>
        <w:rPr>
          <w:rFonts w:hint="eastAsia"/>
          <w:b/>
        </w:rPr>
        <w:t>退保证金声明及保证金的银行转帐单复印件</w:t>
      </w:r>
    </w:p>
    <w:p>
      <w:pPr>
        <w:spacing w:line="360" w:lineRule="auto"/>
      </w:pPr>
    </w:p>
    <w:p>
      <w:pPr>
        <w:tabs>
          <w:tab w:val="left" w:pos="8364"/>
        </w:tabs>
        <w:snapToGrid w:val="0"/>
        <w:spacing w:line="360" w:lineRule="auto"/>
        <w:ind w:right="-58"/>
        <w:jc w:val="center"/>
        <w:rPr>
          <w:rFonts w:ascii="宋体" w:hAnsi="宋体"/>
          <w:szCs w:val="21"/>
        </w:rPr>
      </w:pPr>
      <w:r>
        <w:rPr>
          <w:rFonts w:hint="eastAsia" w:ascii="宋体" w:hAnsi="宋体"/>
          <w:szCs w:val="21"/>
        </w:rPr>
        <w:t>退保证金声明</w:t>
      </w:r>
    </w:p>
    <w:p>
      <w:pPr>
        <w:spacing w:line="360" w:lineRule="auto"/>
        <w:jc w:val="center"/>
      </w:pPr>
    </w:p>
    <w:p>
      <w:pPr>
        <w:spacing w:line="360" w:lineRule="auto"/>
        <w:rPr>
          <w:u w:val="single"/>
        </w:rPr>
      </w:pPr>
      <w:r>
        <w:rPr>
          <w:rFonts w:hint="eastAsia"/>
        </w:rPr>
        <w:t>致：广发银行股份有限公司</w:t>
      </w:r>
    </w:p>
    <w:p>
      <w:pPr>
        <w:spacing w:line="360" w:lineRule="auto"/>
      </w:pPr>
    </w:p>
    <w:p>
      <w:pPr>
        <w:spacing w:line="360" w:lineRule="auto"/>
        <w:ind w:firstLine="420" w:firstLineChars="200"/>
      </w:pPr>
      <w:r>
        <w:rPr>
          <w:rFonts w:hint="eastAsia"/>
        </w:rPr>
        <w:t>我方为</w:t>
      </w:r>
      <w:r>
        <w:rPr>
          <w:rFonts w:hint="eastAsia"/>
          <w:u w:val="single"/>
        </w:rPr>
        <w:t>（ 项目名称 ）</w:t>
      </w:r>
      <w:r>
        <w:rPr>
          <w:rFonts w:hint="eastAsia"/>
        </w:rPr>
        <w:t>（项目编号：</w:t>
      </w:r>
      <w:r>
        <w:rPr>
          <w:rFonts w:hint="eastAsia"/>
          <w:u w:val="single"/>
        </w:rPr>
        <w:t xml:space="preserve">             </w:t>
      </w:r>
      <w:r>
        <w:rPr>
          <w:rFonts w:hint="eastAsia"/>
        </w:rPr>
        <w:t>）的报价所提交的磋商保证金请退还时划到下列帐户：</w:t>
      </w:r>
    </w:p>
    <w:p>
      <w:pPr>
        <w:spacing w:line="360" w:lineRule="auto"/>
        <w:ind w:firstLine="420" w:firstLineChars="200"/>
      </w:pPr>
      <w:r>
        <w:rPr>
          <w:rFonts w:hint="eastAsia"/>
        </w:rPr>
        <w:t>收款单位：</w:t>
      </w:r>
      <w:r>
        <w:rPr>
          <w:rFonts w:hint="eastAsia"/>
          <w:i/>
        </w:rPr>
        <w:t>（注：须与供应商名称一致）</w:t>
      </w:r>
    </w:p>
    <w:p>
      <w:pPr>
        <w:spacing w:line="360" w:lineRule="auto"/>
        <w:ind w:firstLine="420" w:firstLineChars="200"/>
      </w:pPr>
      <w:r>
        <w:rPr>
          <w:rFonts w:hint="eastAsia"/>
        </w:rPr>
        <w:t>开户银行：</w:t>
      </w:r>
    </w:p>
    <w:p>
      <w:pPr>
        <w:spacing w:line="360" w:lineRule="auto"/>
        <w:ind w:firstLine="420" w:firstLineChars="200"/>
        <w:rPr>
          <w:i/>
        </w:rPr>
      </w:pPr>
      <w:r>
        <w:rPr>
          <w:rFonts w:hint="eastAsia"/>
        </w:rPr>
        <w:t>账号：</w:t>
      </w:r>
      <w:r>
        <w:rPr>
          <w:rFonts w:hint="eastAsia"/>
          <w:i/>
        </w:rPr>
        <w:t>（注：须与磋商保证金汇出账户一致，并须在此声明后附保证金的银行转帐单复印件）</w:t>
      </w:r>
    </w:p>
    <w:p>
      <w:pPr>
        <w:spacing w:line="360" w:lineRule="auto"/>
        <w:ind w:firstLine="420" w:firstLineChars="200"/>
        <w:rPr>
          <w:color w:val="FF0000"/>
        </w:rPr>
      </w:pPr>
      <w:r>
        <w:rPr>
          <w:rFonts w:hint="eastAsia"/>
          <w:color w:val="000000" w:themeColor="text1"/>
          <w14:textFill>
            <w14:solidFill>
              <w14:schemeClr w14:val="tx1"/>
            </w14:solidFill>
          </w14:textFill>
        </w:rPr>
        <w:t>金额：人民币</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万元整</w:t>
      </w:r>
    </w:p>
    <w:p>
      <w:pPr>
        <w:autoSpaceDE w:val="0"/>
        <w:autoSpaceDN w:val="0"/>
        <w:adjustRightInd w:val="0"/>
        <w:spacing w:line="360" w:lineRule="auto"/>
        <w:ind w:firstLine="420" w:firstLineChars="200"/>
        <w:jc w:val="left"/>
        <w:rPr>
          <w:rFonts w:ascii="Arial" w:hAnsi="Arial" w:cs="Arial"/>
          <w:kern w:val="0"/>
          <w:szCs w:val="21"/>
        </w:rPr>
      </w:pPr>
      <w:r>
        <w:rPr>
          <w:rFonts w:ascii="Arial" w:hAnsi="Arial" w:cs="Arial"/>
          <w:kern w:val="0"/>
          <w:szCs w:val="21"/>
        </w:rPr>
        <w:t>以上信息供贵司退还保证金时使用，我司保证以上信息正确。如因上述信息错误导致贵司无法及时退还保证金，我司自行承担责任。</w:t>
      </w:r>
    </w:p>
    <w:p>
      <w:pPr>
        <w:spacing w:line="360" w:lineRule="auto"/>
      </w:pPr>
    </w:p>
    <w:p>
      <w:pPr>
        <w:spacing w:line="360" w:lineRule="auto"/>
        <w:ind w:right="25" w:rightChars="12" w:firstLine="3885" w:firstLineChars="1850"/>
      </w:pPr>
    </w:p>
    <w:p>
      <w:pPr>
        <w:spacing w:line="360" w:lineRule="auto"/>
        <w:ind w:right="25" w:rightChars="12" w:firstLine="3885" w:firstLineChars="1850"/>
      </w:pPr>
      <w:r>
        <w:rPr>
          <w:rFonts w:hint="eastAsia"/>
        </w:rPr>
        <w:t>磋商供应商（法人公章）：</w:t>
      </w:r>
    </w:p>
    <w:p>
      <w:pPr>
        <w:spacing w:line="360" w:lineRule="auto"/>
        <w:ind w:right="25" w:rightChars="12" w:firstLine="3885" w:firstLineChars="1850"/>
      </w:pPr>
    </w:p>
    <w:p>
      <w:pPr>
        <w:spacing w:line="360" w:lineRule="auto"/>
        <w:ind w:right="25" w:rightChars="12" w:firstLine="3885" w:firstLineChars="1850"/>
      </w:pPr>
      <w:r>
        <w:rPr>
          <w:rFonts w:hint="eastAsia"/>
        </w:rPr>
        <w:t>授权代表（签字或盖章）：</w:t>
      </w:r>
    </w:p>
    <w:p>
      <w:pPr>
        <w:spacing w:line="360" w:lineRule="auto"/>
        <w:ind w:right="25" w:rightChars="12" w:firstLine="3885" w:firstLineChars="1850"/>
      </w:pPr>
    </w:p>
    <w:p>
      <w:pPr>
        <w:ind w:firstLine="3885" w:firstLineChars="1850"/>
      </w:pPr>
      <w:r>
        <w:rPr>
          <w:rFonts w:hint="eastAsia"/>
        </w:rPr>
        <w:t>日期：</w:t>
      </w:r>
    </w:p>
    <w:p>
      <w:pPr>
        <w:spacing w:line="360" w:lineRule="auto"/>
        <w:ind w:firstLine="420" w:firstLineChars="200"/>
        <w:rPr>
          <w:szCs w:val="21"/>
        </w:rPr>
      </w:pPr>
      <w:r>
        <w:rPr>
          <w:rFonts w:hint="eastAsia"/>
          <w:szCs w:val="21"/>
        </w:rPr>
        <w:t>附：</w:t>
      </w:r>
    </w:p>
    <w:tbl>
      <w:tblPr>
        <w:tblStyle w:val="74"/>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76" w:hRule="atLeast"/>
          <w:jc w:val="center"/>
        </w:trPr>
        <w:tc>
          <w:tcPr>
            <w:tcW w:w="8592" w:type="dxa"/>
          </w:tcPr>
          <w:p>
            <w:pPr>
              <w:spacing w:line="360" w:lineRule="auto"/>
              <w:rPr>
                <w:szCs w:val="21"/>
              </w:rPr>
            </w:pPr>
            <w:r>
              <w:rPr>
                <w:rFonts w:hint="eastAsia"/>
                <w:szCs w:val="21"/>
              </w:rPr>
              <w:t>粘贴转帐或汇款的银行凭证</w:t>
            </w:r>
            <w:r>
              <w:rPr>
                <w:szCs w:val="21"/>
              </w:rPr>
              <w:t>/</w:t>
            </w:r>
            <w:r>
              <w:rPr>
                <w:rFonts w:hint="eastAsia"/>
                <w:szCs w:val="21"/>
              </w:rPr>
              <w:t>证明复印件</w:t>
            </w:r>
          </w:p>
        </w:tc>
      </w:tr>
    </w:tbl>
    <w:p>
      <w:pPr>
        <w:spacing w:line="360" w:lineRule="auto"/>
        <w:ind w:firstLine="420" w:firstLineChars="200"/>
      </w:pPr>
    </w:p>
    <w:p>
      <w:pPr>
        <w:ind w:firstLine="3885" w:firstLineChars="1850"/>
      </w:pPr>
    </w:p>
    <w:p>
      <w:pPr>
        <w:spacing w:line="360" w:lineRule="auto"/>
        <w:jc w:val="left"/>
        <w:rPr>
          <w:b/>
          <w:szCs w:val="21"/>
        </w:rPr>
      </w:pPr>
      <w:r>
        <w:br w:type="page"/>
      </w:r>
      <w:r>
        <w:rPr>
          <w:rFonts w:hint="eastAsia" w:asciiTheme="minorEastAsia" w:hAnsiTheme="minorEastAsia" w:eastAsiaTheme="minorEastAsia"/>
          <w:b/>
        </w:rPr>
        <w:t>七、</w:t>
      </w:r>
      <w:r>
        <w:rPr>
          <w:rFonts w:hint="eastAsia"/>
          <w:b/>
          <w:szCs w:val="21"/>
        </w:rPr>
        <w:t>供应商资格声明函</w:t>
      </w:r>
    </w:p>
    <w:p>
      <w:pPr>
        <w:tabs>
          <w:tab w:val="left" w:pos="8364"/>
        </w:tabs>
        <w:snapToGrid w:val="0"/>
        <w:spacing w:line="360" w:lineRule="auto"/>
        <w:ind w:right="-58"/>
        <w:jc w:val="center"/>
      </w:pPr>
      <w:r>
        <w:rPr>
          <w:rFonts w:hint="eastAsia" w:ascii="宋体" w:hAnsi="宋体"/>
          <w:szCs w:val="21"/>
        </w:rPr>
        <w:t>供应商资格声明函</w:t>
      </w:r>
    </w:p>
    <w:p>
      <w:pPr>
        <w:spacing w:line="360" w:lineRule="auto"/>
        <w:jc w:val="center"/>
      </w:pPr>
    </w:p>
    <w:p>
      <w:pPr>
        <w:spacing w:line="360" w:lineRule="auto"/>
      </w:pPr>
      <w:r>
        <w:rPr>
          <w:rFonts w:hint="eastAsia"/>
        </w:rPr>
        <w:t>致：广发银行股份有限公司</w:t>
      </w:r>
    </w:p>
    <w:p>
      <w:pPr>
        <w:spacing w:line="360" w:lineRule="auto"/>
      </w:pPr>
    </w:p>
    <w:p>
      <w:pPr>
        <w:spacing w:line="360" w:lineRule="auto"/>
        <w:ind w:firstLine="435"/>
        <w:rPr>
          <w:szCs w:val="21"/>
        </w:rPr>
      </w:pPr>
      <w:r>
        <w:rPr>
          <w:rFonts w:hint="eastAsia"/>
          <w:szCs w:val="21"/>
        </w:rPr>
        <w:t>关于贵公司组织的（</w:t>
      </w:r>
      <w:r>
        <w:rPr>
          <w:rFonts w:hint="eastAsia"/>
          <w:szCs w:val="21"/>
          <w:u w:val="single"/>
        </w:rPr>
        <w:t xml:space="preserve">项目名称：       </w:t>
      </w:r>
      <w:r>
        <w:rPr>
          <w:rFonts w:hint="eastAsia"/>
          <w:szCs w:val="21"/>
        </w:rPr>
        <w:t>）（</w:t>
      </w:r>
      <w:r>
        <w:rPr>
          <w:rFonts w:hint="eastAsia"/>
          <w:szCs w:val="21"/>
          <w:u w:val="single"/>
        </w:rPr>
        <w:t xml:space="preserve">项目编号：       </w:t>
      </w:r>
      <w:r>
        <w:rPr>
          <w:rFonts w:hint="eastAsia"/>
          <w:szCs w:val="21"/>
        </w:rPr>
        <w:t>）的磋商采购，我方愿意参加响应报价，提供磋商及响应文件中规定的工程、货物或服务，并保证提交的下列文件和说明是准确和真实的。</w:t>
      </w:r>
    </w:p>
    <w:p>
      <w:pPr>
        <w:spacing w:line="360" w:lineRule="auto"/>
        <w:ind w:firstLine="420" w:firstLineChars="200"/>
      </w:pPr>
      <w:r>
        <w:rPr>
          <w:rFonts w:hint="eastAsia"/>
        </w:rPr>
        <w:t>一、</w:t>
      </w:r>
      <w:r>
        <w:rPr>
          <w:rFonts w:hint="eastAsia" w:ascii="宋体" w:hAnsi="宋体"/>
          <w:szCs w:val="21"/>
        </w:rPr>
        <w:t>我方为本次磋商响应所提交的所有证明其合格和资格的文件是真实的和有效的，并愿为其真实性和有效性承担法律责任。</w:t>
      </w:r>
    </w:p>
    <w:p>
      <w:pPr>
        <w:spacing w:line="360" w:lineRule="auto"/>
        <w:ind w:firstLine="420" w:firstLineChars="200"/>
      </w:pPr>
      <w:r>
        <w:rPr>
          <w:rFonts w:hint="eastAsia"/>
        </w:rPr>
        <w:t>二、</w:t>
      </w:r>
      <w:r>
        <w:rPr>
          <w:rFonts w:hint="eastAsia"/>
          <w:szCs w:val="21"/>
        </w:rPr>
        <w:t>我方是依法注册的法人，在法律上、财务上和运作上完全独立于广发银行股份有限公司（采购人）。</w:t>
      </w:r>
    </w:p>
    <w:p>
      <w:pPr>
        <w:spacing w:line="360" w:lineRule="auto"/>
        <w:ind w:left="105" w:leftChars="50" w:firstLine="315" w:firstLineChars="150"/>
        <w:rPr>
          <w:szCs w:val="21"/>
        </w:rPr>
      </w:pPr>
      <w:r>
        <w:rPr>
          <w:rFonts w:hint="eastAsia"/>
        </w:rPr>
        <w:t>三、我方具备本项目采购公告中的供应商资格条件要求。</w:t>
      </w:r>
    </w:p>
    <w:p>
      <w:pPr>
        <w:spacing w:line="360" w:lineRule="auto"/>
        <w:ind w:firstLine="420" w:firstLineChars="200"/>
      </w:pPr>
      <w:r>
        <w:rPr>
          <w:rFonts w:hint="eastAsia"/>
          <w:szCs w:val="21"/>
        </w:rPr>
        <w:t>四、我方在参加本次采购前</w:t>
      </w:r>
      <w:r>
        <w:rPr>
          <w:rFonts w:hint="eastAsia"/>
          <w:szCs w:val="21"/>
          <w:u w:val="single"/>
        </w:rPr>
        <w:t xml:space="preserve"> 三 </w:t>
      </w:r>
      <w:r>
        <w:rPr>
          <w:rFonts w:hint="eastAsia"/>
          <w:szCs w:val="21"/>
        </w:rPr>
        <w:t>年内，在经营活动及参与社会采购活动中没有重大违法活动及涉嫌违规行为，并没有被有关部门警告或处分的记录，不在采购人的供应商禁入名单中。</w:t>
      </w:r>
    </w:p>
    <w:p>
      <w:pPr>
        <w:spacing w:line="360" w:lineRule="auto"/>
        <w:ind w:firstLine="420" w:firstLineChars="200"/>
      </w:pPr>
      <w:r>
        <w:rPr>
          <w:rFonts w:hint="eastAsia"/>
        </w:rPr>
        <w:t>我方在此同意贵公司对我方的相关情况在企业工商信息系统、司法系统等相关的信息平台进行核查，并可要求我方提供更进一步的资格资料，我方愿意应贵公司的要求提交。</w:t>
      </w:r>
    </w:p>
    <w:p>
      <w:pPr>
        <w:spacing w:line="360" w:lineRule="auto"/>
        <w:jc w:val="center"/>
      </w:pPr>
    </w:p>
    <w:p>
      <w:pPr>
        <w:spacing w:line="360" w:lineRule="auto"/>
        <w:jc w:val="center"/>
      </w:pPr>
    </w:p>
    <w:p>
      <w:pPr>
        <w:spacing w:line="360" w:lineRule="auto"/>
        <w:jc w:val="center"/>
      </w:pPr>
    </w:p>
    <w:p>
      <w:pPr>
        <w:spacing w:line="360" w:lineRule="auto"/>
        <w:ind w:right="25" w:rightChars="12" w:firstLine="3885" w:firstLineChars="1850"/>
      </w:pPr>
      <w:r>
        <w:rPr>
          <w:rFonts w:hint="eastAsia"/>
        </w:rPr>
        <w:t>磋商响应供应商（法人公章）：</w:t>
      </w:r>
    </w:p>
    <w:p>
      <w:pPr>
        <w:spacing w:line="360" w:lineRule="auto"/>
        <w:ind w:right="25" w:rightChars="12" w:firstLine="3885" w:firstLineChars="1850"/>
      </w:pPr>
    </w:p>
    <w:p>
      <w:pPr>
        <w:spacing w:line="360" w:lineRule="auto"/>
        <w:ind w:right="25" w:rightChars="12" w:firstLine="3885" w:firstLineChars="1850"/>
      </w:pPr>
      <w:r>
        <w:rPr>
          <w:rFonts w:hint="eastAsia"/>
        </w:rPr>
        <w:t>授权代表（签字或盖章）：</w:t>
      </w:r>
    </w:p>
    <w:p>
      <w:pPr>
        <w:spacing w:line="360" w:lineRule="auto"/>
        <w:ind w:right="25" w:rightChars="12" w:firstLine="3885" w:firstLineChars="1850"/>
      </w:pPr>
    </w:p>
    <w:p>
      <w:pPr>
        <w:ind w:firstLine="3885" w:firstLineChars="1850"/>
      </w:pPr>
      <w:r>
        <w:rPr>
          <w:rFonts w:hint="eastAsia"/>
        </w:rPr>
        <w:t>日期：</w:t>
      </w:r>
    </w:p>
    <w:p>
      <w:pPr>
        <w:widowControl/>
        <w:jc w:val="left"/>
        <w:rPr>
          <w:b/>
          <w:color w:val="FF0000"/>
          <w:szCs w:val="21"/>
        </w:rPr>
      </w:pPr>
      <w:r>
        <w:br w:type="page"/>
      </w:r>
      <w:r>
        <w:rPr>
          <w:rFonts w:hint="eastAsia"/>
          <w:b/>
        </w:rPr>
        <w:t>八、供应商响应报价承诺书</w:t>
      </w:r>
    </w:p>
    <w:p>
      <w:pPr>
        <w:jc w:val="center"/>
        <w:rPr>
          <w:rFonts w:ascii="Calibri" w:hAnsi="Calibri"/>
          <w:b/>
          <w:sz w:val="28"/>
          <w:szCs w:val="28"/>
        </w:rPr>
      </w:pPr>
    </w:p>
    <w:p>
      <w:pPr>
        <w:jc w:val="center"/>
        <w:rPr>
          <w:rFonts w:ascii="Calibri" w:hAnsi="Calibri"/>
          <w:szCs w:val="21"/>
        </w:rPr>
      </w:pPr>
      <w:r>
        <w:rPr>
          <w:rFonts w:hint="eastAsia" w:ascii="Calibri" w:hAnsi="Calibri"/>
          <w:szCs w:val="21"/>
        </w:rPr>
        <w:t>供应商响应报价承诺书</w:t>
      </w:r>
    </w:p>
    <w:p>
      <w:pPr>
        <w:widowControl/>
        <w:tabs>
          <w:tab w:val="left" w:pos="3960"/>
        </w:tabs>
        <w:spacing w:line="480" w:lineRule="exact"/>
        <w:rPr>
          <w:rFonts w:ascii="Calibri" w:hAnsi="Calibri"/>
          <w:kern w:val="0"/>
          <w:szCs w:val="22"/>
        </w:rPr>
      </w:pPr>
      <w:r>
        <w:rPr>
          <w:rFonts w:ascii="Calibri" w:hAnsi="Calibri"/>
          <w:kern w:val="0"/>
          <w:szCs w:val="22"/>
        </w:rPr>
        <w:tab/>
      </w:r>
    </w:p>
    <w:p>
      <w:pPr>
        <w:widowControl/>
        <w:spacing w:line="360" w:lineRule="auto"/>
        <w:rPr>
          <w:rFonts w:ascii="Calibri" w:hAnsi="Calibri"/>
          <w:kern w:val="0"/>
          <w:szCs w:val="21"/>
        </w:rPr>
      </w:pPr>
      <w:r>
        <w:rPr>
          <w:rFonts w:hint="eastAsia" w:ascii="Calibri" w:hAnsi="Calibri"/>
          <w:kern w:val="0"/>
          <w:szCs w:val="21"/>
        </w:rPr>
        <w:t>广发银行股份有限公司：</w:t>
      </w:r>
    </w:p>
    <w:p>
      <w:pPr>
        <w:widowControl/>
        <w:spacing w:line="360" w:lineRule="auto"/>
        <w:ind w:firstLine="420" w:firstLineChars="200"/>
        <w:rPr>
          <w:rFonts w:ascii="宋体" w:hAnsi="宋体"/>
          <w:kern w:val="0"/>
          <w:szCs w:val="22"/>
        </w:rPr>
      </w:pPr>
      <w:r>
        <w:rPr>
          <w:rFonts w:hint="eastAsia" w:ascii="宋体" w:hAnsi="宋体"/>
          <w:kern w:val="0"/>
          <w:szCs w:val="22"/>
        </w:rPr>
        <w:t>我方已详细阅读了</w:t>
      </w:r>
      <w:r>
        <w:rPr>
          <w:rFonts w:hint="eastAsia"/>
          <w:szCs w:val="21"/>
        </w:rPr>
        <w:t>（</w:t>
      </w:r>
      <w:r>
        <w:rPr>
          <w:rFonts w:hint="eastAsia"/>
          <w:szCs w:val="21"/>
          <w:u w:val="single"/>
        </w:rPr>
        <w:t xml:space="preserve">项目名称：       </w:t>
      </w:r>
      <w:r>
        <w:rPr>
          <w:rFonts w:hint="eastAsia"/>
          <w:szCs w:val="21"/>
        </w:rPr>
        <w:t>）（</w:t>
      </w:r>
      <w:r>
        <w:rPr>
          <w:rFonts w:hint="eastAsia"/>
          <w:szCs w:val="21"/>
          <w:u w:val="single"/>
        </w:rPr>
        <w:t xml:space="preserve">项目编号：       </w:t>
      </w:r>
      <w:r>
        <w:rPr>
          <w:rFonts w:hint="eastAsia"/>
          <w:szCs w:val="21"/>
        </w:rPr>
        <w:t>）</w:t>
      </w:r>
      <w:r>
        <w:rPr>
          <w:rFonts w:hint="eastAsia" w:ascii="宋体" w:hAnsi="宋体"/>
          <w:kern w:val="0"/>
          <w:szCs w:val="22"/>
        </w:rPr>
        <w:t>的磋商文件，自愿参加该项目磋商采购，现就有关事项向采购人郑重承诺如下：</w:t>
      </w:r>
    </w:p>
    <w:p>
      <w:pPr>
        <w:widowControl/>
        <w:spacing w:line="360" w:lineRule="auto"/>
        <w:ind w:firstLine="420" w:firstLineChars="200"/>
        <w:rPr>
          <w:rFonts w:ascii="宋体" w:hAnsi="宋体"/>
          <w:kern w:val="0"/>
          <w:szCs w:val="22"/>
        </w:rPr>
      </w:pPr>
      <w:r>
        <w:rPr>
          <w:rFonts w:hint="eastAsia"/>
        </w:rPr>
        <w:t>一、从接到磋商文件之日起，对从采购活动中获得的有关采购人的任何资料承担保密责任。</w:t>
      </w:r>
    </w:p>
    <w:p>
      <w:pPr>
        <w:widowControl/>
        <w:spacing w:line="360" w:lineRule="auto"/>
        <w:ind w:firstLine="420" w:firstLineChars="200"/>
        <w:rPr>
          <w:rFonts w:ascii="宋体" w:hAnsi="宋体"/>
          <w:kern w:val="0"/>
          <w:szCs w:val="22"/>
        </w:rPr>
      </w:pPr>
      <w:r>
        <w:rPr>
          <w:rFonts w:hint="eastAsia" w:ascii="宋体" w:hAnsi="宋体"/>
          <w:kern w:val="0"/>
          <w:szCs w:val="22"/>
        </w:rPr>
        <w:t>二、遵守中华人民共和国有关采购的法律法规规定，自觉维护市场经济秩序。否则，同意被取消中选资格并接受处罚。</w:t>
      </w:r>
    </w:p>
    <w:p>
      <w:pPr>
        <w:widowControl/>
        <w:spacing w:line="360" w:lineRule="auto"/>
        <w:ind w:firstLine="420" w:firstLineChars="200"/>
        <w:rPr>
          <w:rFonts w:ascii="宋体" w:hAnsi="宋体"/>
          <w:kern w:val="0"/>
          <w:szCs w:val="22"/>
        </w:rPr>
      </w:pPr>
      <w:r>
        <w:rPr>
          <w:rFonts w:hint="eastAsia" w:ascii="宋体" w:hAnsi="宋体"/>
          <w:kern w:val="0"/>
          <w:szCs w:val="22"/>
        </w:rPr>
        <w:t>三、保证磋商响应的文件内容无任何虚假。我方接受采购人对响应文件的相关文件的原件及办公场所等场地的现场核实，若评审过程中或中选之后查出有虚假，同意作无效响应处理或被取消中选资格，并接受磋商保证金不予退还的后果。</w:t>
      </w:r>
    </w:p>
    <w:p>
      <w:pPr>
        <w:widowControl/>
        <w:spacing w:line="360" w:lineRule="auto"/>
        <w:ind w:firstLine="420" w:firstLineChars="200"/>
        <w:rPr>
          <w:rFonts w:ascii="宋体" w:hAnsi="宋体"/>
          <w:kern w:val="0"/>
          <w:szCs w:val="22"/>
        </w:rPr>
      </w:pPr>
      <w:r>
        <w:rPr>
          <w:rFonts w:hint="eastAsia" w:ascii="宋体" w:hAnsi="宋体"/>
          <w:kern w:val="0"/>
          <w:szCs w:val="22"/>
        </w:rPr>
        <w:t>四、保证响应文件不存在低于成本的恶意报价行为。</w:t>
      </w:r>
    </w:p>
    <w:p>
      <w:pPr>
        <w:widowControl/>
        <w:spacing w:line="360" w:lineRule="auto"/>
        <w:ind w:firstLine="420" w:firstLineChars="200"/>
        <w:rPr>
          <w:rFonts w:ascii="宋体" w:hAnsi="宋体"/>
          <w:kern w:val="0"/>
          <w:szCs w:val="22"/>
        </w:rPr>
      </w:pPr>
      <w:r>
        <w:rPr>
          <w:rFonts w:hint="eastAsia" w:ascii="宋体" w:hAnsi="宋体"/>
          <w:kern w:val="0"/>
          <w:szCs w:val="22"/>
        </w:rPr>
        <w:t>五、保证按照磋商文件及中选通知书规定提交履约担保（如要求）并商签采购合同，</w:t>
      </w:r>
      <w:r>
        <w:rPr>
          <w:rFonts w:hint="eastAsia" w:ascii="Calibri" w:hAnsi="Calibri"/>
          <w:kern w:val="0"/>
          <w:szCs w:val="22"/>
        </w:rPr>
        <w:t>对磋商文件第三部分用户需求书和第四部分合同书格式的内容，除响应文件商务、合同和技术响应表所列的偏离外，其他完全响应，不作任何的偏离。</w:t>
      </w:r>
      <w:r>
        <w:rPr>
          <w:rFonts w:hint="eastAsia" w:ascii="宋体" w:hAnsi="宋体"/>
          <w:kern w:val="0"/>
          <w:szCs w:val="22"/>
        </w:rPr>
        <w:t>否则，同意接受采购人违约处罚或取消中选资格并接受磋商保证金不予退还的后果。</w:t>
      </w:r>
    </w:p>
    <w:p>
      <w:pPr>
        <w:widowControl/>
        <w:spacing w:line="360" w:lineRule="auto"/>
        <w:ind w:firstLine="420" w:firstLineChars="200"/>
        <w:rPr>
          <w:rFonts w:ascii="宋体" w:hAnsi="宋体"/>
          <w:kern w:val="0"/>
          <w:szCs w:val="22"/>
        </w:rPr>
      </w:pPr>
      <w:r>
        <w:rPr>
          <w:rFonts w:hint="eastAsia" w:ascii="宋体" w:hAnsi="宋体"/>
          <w:kern w:val="0"/>
          <w:szCs w:val="22"/>
        </w:rPr>
        <w:t>六、保证按照采购合同约定完成采购合同范围内的全部内容，在磋商文件规定的时限内按照磋商文件及响应承诺、采购合同等要求完成采购任务，按时交货或提供相关的服务并经验收合格，工程、货物或服务质量按照响应文件的承诺并满足磋商文件要求，否则，同意接受采购人对我方违约处理。</w:t>
      </w:r>
    </w:p>
    <w:p>
      <w:pPr>
        <w:widowControl/>
        <w:spacing w:line="360" w:lineRule="auto"/>
        <w:ind w:firstLine="420" w:firstLineChars="200"/>
        <w:rPr>
          <w:rFonts w:ascii="宋体" w:hAnsi="宋体"/>
          <w:kern w:val="0"/>
          <w:szCs w:val="22"/>
        </w:rPr>
      </w:pPr>
      <w:r>
        <w:rPr>
          <w:rFonts w:hint="eastAsia" w:ascii="宋体" w:hAnsi="宋体"/>
          <w:kern w:val="0"/>
          <w:szCs w:val="22"/>
        </w:rPr>
        <w:t>七、保证中选之后不转包/分包；若转包/分包将征得采购人同意并遵守相关法律法规和本项目磋商文件的要求。</w:t>
      </w:r>
    </w:p>
    <w:p>
      <w:pPr>
        <w:widowControl/>
        <w:spacing w:line="360" w:lineRule="auto"/>
        <w:ind w:firstLine="420" w:firstLineChars="200"/>
        <w:rPr>
          <w:rFonts w:ascii="宋体" w:hAnsi="宋体"/>
          <w:kern w:val="0"/>
          <w:szCs w:val="22"/>
        </w:rPr>
      </w:pPr>
      <w:r>
        <w:rPr>
          <w:rFonts w:hint="eastAsia" w:ascii="宋体" w:hAnsi="宋体"/>
          <w:kern w:val="0"/>
          <w:szCs w:val="22"/>
        </w:rPr>
        <w:t>八、保证中选之后密切配合采购人开展工作，接受采购人的监督管理。</w:t>
      </w:r>
    </w:p>
    <w:p>
      <w:pPr>
        <w:widowControl/>
        <w:spacing w:line="360" w:lineRule="auto"/>
        <w:ind w:firstLine="420" w:firstLineChars="200"/>
        <w:rPr>
          <w:rFonts w:ascii="宋体" w:hAnsi="宋体"/>
          <w:kern w:val="0"/>
          <w:szCs w:val="22"/>
        </w:rPr>
      </w:pPr>
      <w:r>
        <w:rPr>
          <w:rFonts w:hint="eastAsia" w:ascii="宋体" w:hAnsi="宋体"/>
          <w:kern w:val="0"/>
          <w:szCs w:val="22"/>
        </w:rPr>
        <w:t>九、保证按磋商文件及采购合同约定的原则处理采购调整事宜，不发生签署采购合同之后恶意索赔的行为。</w:t>
      </w:r>
    </w:p>
    <w:p>
      <w:pPr>
        <w:widowControl/>
        <w:spacing w:line="360" w:lineRule="auto"/>
        <w:ind w:firstLine="420" w:firstLineChars="200"/>
        <w:rPr>
          <w:rFonts w:ascii="宋体" w:hAnsi="宋体"/>
          <w:kern w:val="0"/>
          <w:szCs w:val="22"/>
        </w:rPr>
      </w:pPr>
      <w:r>
        <w:rPr>
          <w:rFonts w:hint="eastAsia" w:ascii="宋体" w:hAnsi="宋体"/>
          <w:kern w:val="0"/>
          <w:szCs w:val="22"/>
        </w:rPr>
        <w:t>十、我方在规定的磋商响应报价有效期限内，将受磋商文件的约束并履行响应文件的承诺。</w:t>
      </w:r>
    </w:p>
    <w:p>
      <w:pPr>
        <w:spacing w:line="360" w:lineRule="auto"/>
        <w:ind w:right="25" w:rightChars="12" w:firstLine="3885" w:firstLineChars="1850"/>
      </w:pPr>
    </w:p>
    <w:p>
      <w:pPr>
        <w:spacing w:line="360" w:lineRule="auto"/>
        <w:ind w:right="25" w:rightChars="12" w:firstLine="3885" w:firstLineChars="1850"/>
      </w:pPr>
    </w:p>
    <w:p>
      <w:pPr>
        <w:spacing w:line="360" w:lineRule="auto"/>
        <w:ind w:right="25" w:rightChars="12" w:firstLine="3885" w:firstLineChars="1850"/>
      </w:pPr>
    </w:p>
    <w:p>
      <w:pPr>
        <w:spacing w:line="360" w:lineRule="auto"/>
        <w:ind w:right="25" w:rightChars="12" w:firstLine="3885" w:firstLineChars="1850"/>
      </w:pPr>
      <w:r>
        <w:rPr>
          <w:rFonts w:hint="eastAsia"/>
        </w:rPr>
        <w:t>磋商响应的供应商（法人公章）：</w:t>
      </w:r>
    </w:p>
    <w:p>
      <w:pPr>
        <w:spacing w:line="360" w:lineRule="auto"/>
        <w:ind w:right="25" w:rightChars="12" w:firstLine="3885" w:firstLineChars="1850"/>
      </w:pPr>
    </w:p>
    <w:p>
      <w:pPr>
        <w:spacing w:line="360" w:lineRule="auto"/>
        <w:ind w:right="25" w:rightChars="12" w:firstLine="3885" w:firstLineChars="1850"/>
      </w:pPr>
      <w:r>
        <w:rPr>
          <w:rFonts w:hint="eastAsia"/>
        </w:rPr>
        <w:t>授权代表（签字或盖章）：</w:t>
      </w:r>
    </w:p>
    <w:p>
      <w:pPr>
        <w:spacing w:line="360" w:lineRule="auto"/>
        <w:ind w:right="25" w:rightChars="12" w:firstLine="3885" w:firstLineChars="1850"/>
      </w:pPr>
    </w:p>
    <w:p>
      <w:pPr>
        <w:widowControl/>
        <w:spacing w:line="360" w:lineRule="auto"/>
        <w:ind w:firstLine="3885" w:firstLineChars="1850"/>
      </w:pPr>
      <w:r>
        <w:rPr>
          <w:rFonts w:hint="eastAsia"/>
        </w:rPr>
        <w:t>日期：</w:t>
      </w:r>
    </w:p>
    <w:p>
      <w:pPr>
        <w:widowControl/>
        <w:jc w:val="left"/>
        <w:rPr>
          <w:rFonts w:asciiTheme="minorEastAsia" w:hAnsiTheme="minorEastAsia" w:eastAsiaTheme="minorEastAsia"/>
        </w:rPr>
      </w:pPr>
      <w:r>
        <w:rPr>
          <w:rFonts w:asciiTheme="minorEastAsia" w:hAnsiTheme="minorEastAsia" w:eastAsiaTheme="minorEastAsia"/>
        </w:rPr>
        <w:br w:type="page"/>
      </w:r>
    </w:p>
    <w:p>
      <w:pPr>
        <w:spacing w:line="360" w:lineRule="auto"/>
        <w:rPr>
          <w:rFonts w:asciiTheme="minorEastAsia" w:hAnsiTheme="minorEastAsia" w:eastAsiaTheme="minorEastAsia"/>
        </w:rPr>
      </w:pPr>
      <w:r>
        <w:rPr>
          <w:rFonts w:hint="eastAsia" w:ascii="宋体" w:hAnsi="宋体" w:cs="宋体"/>
          <w:kern w:val="0"/>
          <w:szCs w:val="21"/>
        </w:rPr>
        <w:t>九、供应商资格条件要求的其他证明材料</w:t>
      </w:r>
    </w:p>
    <w:p>
      <w:pPr>
        <w:spacing w:line="360" w:lineRule="auto"/>
        <w:jc w:val="center"/>
        <w:rPr>
          <w:rFonts w:asciiTheme="minorEastAsia" w:hAnsiTheme="minorEastAsia" w:eastAsiaTheme="minorEastAsia"/>
        </w:rPr>
      </w:pPr>
      <w:r>
        <w:rPr>
          <w:rFonts w:hint="eastAsia" w:asciiTheme="minorEastAsia" w:hAnsiTheme="minorEastAsia" w:eastAsiaTheme="minorEastAsia"/>
        </w:rPr>
        <w:t>（一）</w:t>
      </w:r>
      <w:r>
        <w:rPr>
          <w:rFonts w:hint="eastAsia" w:asciiTheme="minorEastAsia" w:hAnsiTheme="minorEastAsia" w:eastAsiaTheme="minorEastAsia"/>
          <w:color w:val="000000" w:themeColor="text1"/>
          <w14:textFill>
            <w14:solidFill>
              <w14:schemeClr w14:val="tx1"/>
            </w14:solidFill>
          </w14:textFill>
        </w:rPr>
        <w:t>供应商近三年来（2016年1月1日（含）至今），具备全国性金融机构总部、或全国性金融机构总部专营机构（如某银行总行信用卡中心）的舆情监测案例（注：“全国性金融机构”的总资产规模须达到1万亿或以上），且须提供相关证明材料（提供合同或其它证明材料；可填写于《供应商业绩一览表》避免重复提交）。</w:t>
      </w:r>
    </w:p>
    <w:p>
      <w:pPr>
        <w:spacing w:line="360" w:lineRule="auto"/>
        <w:jc w:val="center"/>
      </w:pPr>
      <w:r>
        <w:br w:type="page"/>
      </w:r>
    </w:p>
    <w:p>
      <w:pPr>
        <w:spacing w:line="360" w:lineRule="auto"/>
        <w:jc w:val="center"/>
        <w:outlineLvl w:val="1"/>
        <w:rPr>
          <w:rFonts w:ascii="宋体" w:hAnsi="宋体"/>
          <w:b/>
          <w:szCs w:val="21"/>
        </w:rPr>
      </w:pPr>
      <w:bookmarkStart w:id="120" w:name="_Toc507608771"/>
      <w:r>
        <w:rPr>
          <w:rFonts w:hint="eastAsia" w:ascii="宋体" w:hAnsi="宋体"/>
          <w:b/>
          <w:szCs w:val="21"/>
        </w:rPr>
        <w:t>第二章 商务和技术文件</w:t>
      </w:r>
      <w:bookmarkEnd w:id="120"/>
    </w:p>
    <w:p>
      <w:pPr>
        <w:spacing w:line="360" w:lineRule="auto"/>
        <w:rPr>
          <w:rFonts w:asciiTheme="minorEastAsia" w:hAnsiTheme="minorEastAsia" w:eastAsiaTheme="minorEastAsia"/>
          <w:b/>
        </w:rPr>
      </w:pPr>
      <w:r>
        <w:rPr>
          <w:rFonts w:hint="eastAsia" w:asciiTheme="minorEastAsia" w:hAnsiTheme="minorEastAsia" w:eastAsiaTheme="minorEastAsia"/>
          <w:b/>
        </w:rPr>
        <w:t>一、供应商综合概况</w:t>
      </w:r>
    </w:p>
    <w:p>
      <w:pPr>
        <w:pStyle w:val="771"/>
        <w:tabs>
          <w:tab w:val="left" w:pos="180"/>
        </w:tabs>
        <w:spacing w:line="360" w:lineRule="auto"/>
        <w:ind w:left="-238"/>
        <w:rPr>
          <w:b/>
          <w:szCs w:val="21"/>
        </w:rPr>
      </w:pPr>
      <w:r>
        <w:rPr>
          <w:rFonts w:hint="eastAsia" w:ascii="宋体" w:hAnsi="宋体"/>
          <w:b/>
        </w:rPr>
        <w:t>（一）</w:t>
      </w:r>
      <w:r>
        <w:rPr>
          <w:rFonts w:hint="eastAsia"/>
          <w:b/>
          <w:szCs w:val="21"/>
        </w:rPr>
        <w:t>供应商情况介绍表</w:t>
      </w:r>
    </w:p>
    <w:tbl>
      <w:tblPr>
        <w:tblStyle w:val="74"/>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80"/>
        <w:gridCol w:w="1260"/>
        <w:gridCol w:w="1080"/>
        <w:gridCol w:w="114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单位名称</w:t>
            </w:r>
          </w:p>
        </w:tc>
        <w:tc>
          <w:tcPr>
            <w:tcW w:w="7200" w:type="dxa"/>
            <w:gridSpan w:val="5"/>
            <w:vAlign w:val="center"/>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地址</w:t>
            </w:r>
          </w:p>
        </w:tc>
        <w:tc>
          <w:tcPr>
            <w:tcW w:w="7200" w:type="dxa"/>
            <w:gridSpan w:val="5"/>
            <w:vAlign w:val="center"/>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注册资本</w:t>
            </w:r>
          </w:p>
        </w:tc>
        <w:tc>
          <w:tcPr>
            <w:tcW w:w="1980" w:type="dxa"/>
            <w:vAlign w:val="center"/>
          </w:tcPr>
          <w:p>
            <w:pPr>
              <w:tabs>
                <w:tab w:val="left" w:pos="540"/>
              </w:tabs>
              <w:ind w:left="-132" w:leftChars="-64" w:right="-105" w:rightChars="-50" w:hanging="2"/>
              <w:jc w:val="center"/>
              <w:rPr>
                <w:szCs w:val="21"/>
              </w:rPr>
            </w:pPr>
          </w:p>
        </w:tc>
        <w:tc>
          <w:tcPr>
            <w:tcW w:w="1260" w:type="dxa"/>
            <w:vAlign w:val="center"/>
          </w:tcPr>
          <w:p>
            <w:pPr>
              <w:tabs>
                <w:tab w:val="left" w:pos="540"/>
              </w:tabs>
              <w:ind w:left="-132" w:leftChars="-64" w:right="-105" w:rightChars="-50" w:hanging="2"/>
              <w:jc w:val="center"/>
              <w:rPr>
                <w:szCs w:val="21"/>
              </w:rPr>
            </w:pPr>
            <w:r>
              <w:rPr>
                <w:rFonts w:hint="eastAsia"/>
                <w:szCs w:val="21"/>
              </w:rPr>
              <w:t>法人代表</w:t>
            </w:r>
          </w:p>
        </w:tc>
        <w:tc>
          <w:tcPr>
            <w:tcW w:w="1080" w:type="dxa"/>
            <w:vAlign w:val="center"/>
          </w:tcPr>
          <w:p>
            <w:pPr>
              <w:tabs>
                <w:tab w:val="left" w:pos="540"/>
              </w:tabs>
              <w:ind w:left="-132" w:leftChars="-64" w:right="-105" w:rightChars="-50" w:hanging="2"/>
              <w:jc w:val="center"/>
              <w:rPr>
                <w:szCs w:val="21"/>
              </w:rPr>
            </w:pPr>
          </w:p>
        </w:tc>
        <w:tc>
          <w:tcPr>
            <w:tcW w:w="1148" w:type="dxa"/>
            <w:vAlign w:val="center"/>
          </w:tcPr>
          <w:p>
            <w:pPr>
              <w:tabs>
                <w:tab w:val="left" w:pos="540"/>
              </w:tabs>
              <w:ind w:left="-132" w:leftChars="-64" w:right="-105" w:rightChars="-50" w:hanging="2"/>
              <w:jc w:val="center"/>
              <w:rPr>
                <w:szCs w:val="21"/>
              </w:rPr>
            </w:pPr>
            <w:r>
              <w:rPr>
                <w:rFonts w:hint="eastAsia"/>
                <w:szCs w:val="21"/>
              </w:rPr>
              <w:t>职务</w:t>
            </w:r>
          </w:p>
        </w:tc>
        <w:tc>
          <w:tcPr>
            <w:tcW w:w="1732" w:type="dxa"/>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公司成立时间</w:t>
            </w:r>
          </w:p>
        </w:tc>
        <w:tc>
          <w:tcPr>
            <w:tcW w:w="1980" w:type="dxa"/>
            <w:vAlign w:val="center"/>
          </w:tcPr>
          <w:p>
            <w:pPr>
              <w:tabs>
                <w:tab w:val="left" w:pos="540"/>
              </w:tabs>
              <w:ind w:left="-132" w:leftChars="-64" w:right="-105" w:rightChars="-50" w:hanging="2"/>
              <w:jc w:val="center"/>
              <w:rPr>
                <w:szCs w:val="21"/>
              </w:rPr>
            </w:pPr>
          </w:p>
        </w:tc>
        <w:tc>
          <w:tcPr>
            <w:tcW w:w="1260" w:type="dxa"/>
            <w:vAlign w:val="center"/>
          </w:tcPr>
          <w:p>
            <w:pPr>
              <w:tabs>
                <w:tab w:val="left" w:pos="540"/>
              </w:tabs>
              <w:ind w:left="-132" w:leftChars="-64" w:right="-105" w:rightChars="-50" w:hanging="2"/>
              <w:jc w:val="center"/>
              <w:rPr>
                <w:szCs w:val="21"/>
              </w:rPr>
            </w:pPr>
            <w:r>
              <w:rPr>
                <w:rFonts w:hint="eastAsia"/>
                <w:szCs w:val="21"/>
              </w:rPr>
              <w:t>授权代表</w:t>
            </w:r>
          </w:p>
        </w:tc>
        <w:tc>
          <w:tcPr>
            <w:tcW w:w="1080" w:type="dxa"/>
            <w:vAlign w:val="center"/>
          </w:tcPr>
          <w:p>
            <w:pPr>
              <w:tabs>
                <w:tab w:val="left" w:pos="540"/>
              </w:tabs>
              <w:ind w:left="-132" w:leftChars="-64" w:right="-105" w:rightChars="-50" w:hanging="2"/>
              <w:jc w:val="center"/>
              <w:rPr>
                <w:szCs w:val="21"/>
              </w:rPr>
            </w:pPr>
          </w:p>
        </w:tc>
        <w:tc>
          <w:tcPr>
            <w:tcW w:w="1148" w:type="dxa"/>
            <w:vAlign w:val="center"/>
          </w:tcPr>
          <w:p>
            <w:pPr>
              <w:tabs>
                <w:tab w:val="left" w:pos="540"/>
              </w:tabs>
              <w:ind w:left="-132" w:leftChars="-64" w:right="-105" w:rightChars="-50" w:hanging="2"/>
              <w:jc w:val="center"/>
              <w:rPr>
                <w:szCs w:val="21"/>
              </w:rPr>
            </w:pPr>
            <w:r>
              <w:rPr>
                <w:rFonts w:hint="eastAsia"/>
                <w:szCs w:val="21"/>
              </w:rPr>
              <w:t>职务</w:t>
            </w:r>
          </w:p>
        </w:tc>
        <w:tc>
          <w:tcPr>
            <w:tcW w:w="1732" w:type="dxa"/>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邮编</w:t>
            </w:r>
          </w:p>
        </w:tc>
        <w:tc>
          <w:tcPr>
            <w:tcW w:w="1980" w:type="dxa"/>
            <w:vAlign w:val="center"/>
          </w:tcPr>
          <w:p>
            <w:pPr>
              <w:tabs>
                <w:tab w:val="left" w:pos="540"/>
              </w:tabs>
              <w:ind w:left="-132" w:leftChars="-64" w:right="-105" w:rightChars="-50" w:hanging="2"/>
              <w:jc w:val="center"/>
              <w:rPr>
                <w:szCs w:val="21"/>
              </w:rPr>
            </w:pPr>
          </w:p>
        </w:tc>
        <w:tc>
          <w:tcPr>
            <w:tcW w:w="1260" w:type="dxa"/>
            <w:vAlign w:val="center"/>
          </w:tcPr>
          <w:p>
            <w:pPr>
              <w:tabs>
                <w:tab w:val="left" w:pos="540"/>
              </w:tabs>
              <w:ind w:left="-132" w:leftChars="-64" w:right="-105" w:rightChars="-50" w:hanging="2"/>
              <w:jc w:val="center"/>
              <w:rPr>
                <w:szCs w:val="21"/>
              </w:rPr>
            </w:pPr>
            <w:r>
              <w:rPr>
                <w:rFonts w:hint="eastAsia"/>
                <w:szCs w:val="21"/>
              </w:rPr>
              <w:t>电话</w:t>
            </w:r>
          </w:p>
        </w:tc>
        <w:tc>
          <w:tcPr>
            <w:tcW w:w="1080" w:type="dxa"/>
            <w:vAlign w:val="center"/>
          </w:tcPr>
          <w:p>
            <w:pPr>
              <w:tabs>
                <w:tab w:val="left" w:pos="540"/>
              </w:tabs>
              <w:ind w:left="-132" w:leftChars="-64" w:right="-105" w:rightChars="-50" w:hanging="2"/>
              <w:jc w:val="center"/>
              <w:rPr>
                <w:szCs w:val="21"/>
              </w:rPr>
            </w:pPr>
          </w:p>
        </w:tc>
        <w:tc>
          <w:tcPr>
            <w:tcW w:w="1148" w:type="dxa"/>
            <w:vAlign w:val="center"/>
          </w:tcPr>
          <w:p>
            <w:pPr>
              <w:tabs>
                <w:tab w:val="left" w:pos="540"/>
              </w:tabs>
              <w:ind w:left="-132" w:leftChars="-64" w:right="-105" w:rightChars="-50" w:hanging="2"/>
              <w:jc w:val="center"/>
              <w:rPr>
                <w:szCs w:val="21"/>
              </w:rPr>
            </w:pPr>
            <w:r>
              <w:rPr>
                <w:rFonts w:hint="eastAsia"/>
                <w:szCs w:val="21"/>
              </w:rPr>
              <w:t>邮箱</w:t>
            </w:r>
          </w:p>
        </w:tc>
        <w:tc>
          <w:tcPr>
            <w:tcW w:w="1732" w:type="dxa"/>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职工总数</w:t>
            </w:r>
          </w:p>
        </w:tc>
        <w:tc>
          <w:tcPr>
            <w:tcW w:w="1980" w:type="dxa"/>
            <w:vAlign w:val="center"/>
          </w:tcPr>
          <w:p>
            <w:pPr>
              <w:tabs>
                <w:tab w:val="left" w:pos="540"/>
              </w:tabs>
              <w:ind w:left="-132" w:leftChars="-64" w:right="-105" w:rightChars="-50" w:hanging="2"/>
              <w:jc w:val="center"/>
              <w:rPr>
                <w:szCs w:val="21"/>
              </w:rPr>
            </w:pPr>
          </w:p>
        </w:tc>
        <w:tc>
          <w:tcPr>
            <w:tcW w:w="1260" w:type="dxa"/>
            <w:vAlign w:val="center"/>
          </w:tcPr>
          <w:p>
            <w:pPr>
              <w:tabs>
                <w:tab w:val="left" w:pos="540"/>
              </w:tabs>
              <w:ind w:left="-132" w:leftChars="-64" w:right="-105" w:rightChars="-50" w:hanging="2"/>
              <w:jc w:val="center"/>
              <w:rPr>
                <w:szCs w:val="21"/>
              </w:rPr>
            </w:pPr>
            <w:r>
              <w:rPr>
                <w:rFonts w:hint="eastAsia"/>
                <w:szCs w:val="21"/>
              </w:rPr>
              <w:t>占地面积</w:t>
            </w:r>
          </w:p>
        </w:tc>
        <w:tc>
          <w:tcPr>
            <w:tcW w:w="1080" w:type="dxa"/>
            <w:vAlign w:val="center"/>
          </w:tcPr>
          <w:p>
            <w:pPr>
              <w:tabs>
                <w:tab w:val="left" w:pos="540"/>
              </w:tabs>
              <w:ind w:left="-132" w:leftChars="-64" w:right="-105" w:rightChars="-50" w:hanging="2"/>
              <w:jc w:val="center"/>
              <w:rPr>
                <w:szCs w:val="21"/>
              </w:rPr>
            </w:pPr>
            <w:r>
              <w:rPr>
                <w:szCs w:val="21"/>
              </w:rPr>
              <w:t>M</w:t>
            </w:r>
            <w:r>
              <w:rPr>
                <w:szCs w:val="21"/>
                <w:vertAlign w:val="superscript"/>
              </w:rPr>
              <w:t>2</w:t>
            </w:r>
          </w:p>
        </w:tc>
        <w:tc>
          <w:tcPr>
            <w:tcW w:w="1148" w:type="dxa"/>
            <w:vAlign w:val="center"/>
          </w:tcPr>
          <w:p>
            <w:pPr>
              <w:tabs>
                <w:tab w:val="left" w:pos="540"/>
              </w:tabs>
              <w:ind w:left="-132" w:leftChars="-64" w:right="-105" w:rightChars="-50" w:hanging="2"/>
              <w:jc w:val="center"/>
              <w:rPr>
                <w:szCs w:val="21"/>
              </w:rPr>
            </w:pPr>
            <w:r>
              <w:rPr>
                <w:rFonts w:hint="eastAsia"/>
                <w:szCs w:val="21"/>
              </w:rPr>
              <w:t>建筑面积</w:t>
            </w:r>
          </w:p>
        </w:tc>
        <w:tc>
          <w:tcPr>
            <w:tcW w:w="1732" w:type="dxa"/>
            <w:vAlign w:val="center"/>
          </w:tcPr>
          <w:p>
            <w:pPr>
              <w:tabs>
                <w:tab w:val="left" w:pos="540"/>
              </w:tabs>
              <w:ind w:left="-132" w:leftChars="-64" w:right="-105" w:rightChars="-50" w:hanging="2"/>
              <w:jc w:val="center"/>
              <w:rPr>
                <w:szCs w:val="21"/>
              </w:rPr>
            </w:pPr>
            <w:r>
              <w:rPr>
                <w:szCs w:val="21"/>
              </w:rPr>
              <w:t>M</w:t>
            </w:r>
            <w:r>
              <w:rPr>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5"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单位简介及机构设置</w:t>
            </w:r>
          </w:p>
        </w:tc>
        <w:tc>
          <w:tcPr>
            <w:tcW w:w="7200" w:type="dxa"/>
            <w:gridSpan w:val="5"/>
          </w:tcPr>
          <w:p>
            <w:pPr>
              <w:tabs>
                <w:tab w:val="left" w:pos="540"/>
              </w:tabs>
              <w:ind w:left="-132" w:leftChars="-64" w:right="-105" w:rightChars="-50" w:hanging="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5" w:hRule="atLeast"/>
          <w:jc w:val="center"/>
        </w:trPr>
        <w:tc>
          <w:tcPr>
            <w:tcW w:w="2088" w:type="dxa"/>
            <w:vAlign w:val="center"/>
          </w:tcPr>
          <w:p>
            <w:pPr>
              <w:tabs>
                <w:tab w:val="left" w:pos="540"/>
              </w:tabs>
              <w:ind w:left="-132" w:leftChars="-64" w:right="-105" w:rightChars="-50" w:hanging="2"/>
              <w:jc w:val="center"/>
              <w:rPr>
                <w:szCs w:val="21"/>
              </w:rPr>
            </w:pPr>
            <w:r>
              <w:rPr>
                <w:rFonts w:hint="eastAsia"/>
                <w:szCs w:val="21"/>
              </w:rPr>
              <w:t>单位优势及特长</w:t>
            </w:r>
          </w:p>
        </w:tc>
        <w:tc>
          <w:tcPr>
            <w:tcW w:w="7200" w:type="dxa"/>
            <w:gridSpan w:val="5"/>
          </w:tcPr>
          <w:p>
            <w:pPr>
              <w:tabs>
                <w:tab w:val="left" w:pos="540"/>
              </w:tabs>
              <w:ind w:left="-132" w:leftChars="-64" w:right="-105" w:rightChars="-50" w:hanging="2"/>
              <w:jc w:val="center"/>
              <w:rPr>
                <w:szCs w:val="21"/>
              </w:rPr>
            </w:pPr>
          </w:p>
        </w:tc>
      </w:tr>
    </w:tbl>
    <w:p>
      <w:pPr>
        <w:spacing w:before="25" w:after="25"/>
        <w:ind w:left="840" w:hanging="840" w:hangingChars="400"/>
        <w:jc w:val="left"/>
        <w:rPr>
          <w:bCs/>
          <w:szCs w:val="21"/>
        </w:rPr>
      </w:pPr>
      <w:r>
        <w:rPr>
          <w:rFonts w:hint="eastAsia"/>
          <w:bCs/>
          <w:szCs w:val="21"/>
        </w:rPr>
        <w:t>注：</w:t>
      </w:r>
      <w:r>
        <w:rPr>
          <w:bCs/>
          <w:szCs w:val="21"/>
        </w:rPr>
        <w:t>1</w:t>
      </w:r>
      <w:r>
        <w:rPr>
          <w:rFonts w:hint="eastAsia"/>
          <w:bCs/>
          <w:szCs w:val="21"/>
        </w:rPr>
        <w:t>）文字描述：单位性质、发展历程、经营规模及理念、主营产品、技术力量等。</w:t>
      </w:r>
    </w:p>
    <w:p>
      <w:pPr>
        <w:spacing w:before="25" w:after="25"/>
        <w:ind w:left="840" w:leftChars="200" w:hanging="420" w:hangingChars="200"/>
        <w:jc w:val="left"/>
        <w:rPr>
          <w:bCs/>
          <w:szCs w:val="21"/>
        </w:rPr>
      </w:pPr>
      <w:r>
        <w:rPr>
          <w:bCs/>
          <w:szCs w:val="21"/>
        </w:rPr>
        <w:t xml:space="preserve">2) </w:t>
      </w:r>
      <w:r>
        <w:rPr>
          <w:rFonts w:hint="eastAsia"/>
          <w:bCs/>
          <w:szCs w:val="21"/>
        </w:rPr>
        <w:t>图片描述：经营场所、主要或关键产品介绍、生产场所及工艺流程等。</w:t>
      </w:r>
    </w:p>
    <w:p>
      <w:pPr>
        <w:ind w:firstLine="420" w:firstLineChars="200"/>
      </w:pPr>
      <w:r>
        <w:rPr>
          <w:bCs/>
          <w:szCs w:val="21"/>
        </w:rPr>
        <w:t xml:space="preserve">3) </w:t>
      </w:r>
      <w:r>
        <w:rPr>
          <w:rFonts w:hint="eastAsia"/>
          <w:szCs w:val="21"/>
        </w:rPr>
        <w:t>如供应商此表数据有虚假，一经查实，自行承担相关责任。</w:t>
      </w:r>
    </w:p>
    <w:p>
      <w:pPr>
        <w:spacing w:line="360" w:lineRule="auto"/>
        <w:jc w:val="left"/>
        <w:rPr>
          <w:rFonts w:ascii="宋体" w:hAnsi="宋体"/>
        </w:rPr>
      </w:pPr>
    </w:p>
    <w:p>
      <w:pPr>
        <w:spacing w:line="360" w:lineRule="auto"/>
        <w:jc w:val="left"/>
        <w:rPr>
          <w:rFonts w:ascii="宋体" w:hAnsi="宋体"/>
          <w:b/>
        </w:rPr>
      </w:pPr>
      <w:r>
        <w:rPr>
          <w:rFonts w:hint="eastAsia" w:ascii="宋体" w:hAnsi="宋体"/>
          <w:b/>
        </w:rPr>
        <w:t>（二）</w:t>
      </w:r>
      <w:r>
        <w:rPr>
          <w:rFonts w:hint="eastAsia" w:ascii="宋体" w:hAnsi="宋体"/>
          <w:b/>
          <w:szCs w:val="21"/>
        </w:rPr>
        <w:t>供应商</w:t>
      </w:r>
      <w:r>
        <w:rPr>
          <w:rFonts w:hint="eastAsia" w:ascii="宋体" w:hAnsi="宋体"/>
          <w:b/>
        </w:rPr>
        <w:t>财务状况一览表</w:t>
      </w:r>
    </w:p>
    <w:tbl>
      <w:tblPr>
        <w:tblStyle w:val="74"/>
        <w:tblW w:w="982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1"/>
        <w:gridCol w:w="1737"/>
        <w:gridCol w:w="2151"/>
        <w:gridCol w:w="2151"/>
        <w:gridCol w:w="2151"/>
        <w:gridCol w:w="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53" w:hRule="atLeast"/>
          <w:jc w:val="center"/>
        </w:trPr>
        <w:tc>
          <w:tcPr>
            <w:tcW w:w="681" w:type="dxa"/>
            <w:vMerge w:val="restart"/>
            <w:vAlign w:val="center"/>
          </w:tcPr>
          <w:p>
            <w:pPr>
              <w:jc w:val="center"/>
              <w:rPr>
                <w:rFonts w:ascii="宋体" w:hAnsi="宋体"/>
                <w:caps/>
                <w:szCs w:val="21"/>
              </w:rPr>
            </w:pPr>
            <w:r>
              <w:rPr>
                <w:rFonts w:hint="eastAsia" w:ascii="宋体" w:hAnsi="宋体"/>
                <w:caps/>
                <w:szCs w:val="21"/>
              </w:rPr>
              <w:t>序号</w:t>
            </w:r>
          </w:p>
        </w:tc>
        <w:tc>
          <w:tcPr>
            <w:tcW w:w="1737" w:type="dxa"/>
            <w:vMerge w:val="restart"/>
            <w:vAlign w:val="center"/>
          </w:tcPr>
          <w:p>
            <w:pPr>
              <w:jc w:val="center"/>
              <w:rPr>
                <w:rFonts w:ascii="宋体" w:hAnsi="宋体"/>
                <w:caps/>
                <w:szCs w:val="21"/>
              </w:rPr>
            </w:pPr>
            <w:r>
              <w:rPr>
                <w:rFonts w:hint="eastAsia" w:ascii="宋体" w:hAnsi="宋体"/>
                <w:caps/>
                <w:szCs w:val="21"/>
              </w:rPr>
              <w:t>科目</w:t>
            </w:r>
          </w:p>
        </w:tc>
        <w:tc>
          <w:tcPr>
            <w:tcW w:w="6453" w:type="dxa"/>
            <w:gridSpan w:val="3"/>
            <w:vAlign w:val="center"/>
          </w:tcPr>
          <w:p>
            <w:pPr>
              <w:jc w:val="center"/>
              <w:rPr>
                <w:rFonts w:ascii="宋体" w:hAnsi="宋体"/>
                <w:caps/>
                <w:szCs w:val="21"/>
              </w:rPr>
            </w:pPr>
            <w:r>
              <w:rPr>
                <w:rFonts w:hint="eastAsia" w:ascii="宋体" w:hAnsi="宋体"/>
                <w:caps/>
                <w:szCs w:val="21"/>
              </w:rPr>
              <w:t>最近三年财务状况(人民币/元）</w:t>
            </w:r>
          </w:p>
        </w:tc>
        <w:tc>
          <w:tcPr>
            <w:tcW w:w="956" w:type="dxa"/>
            <w:vMerge w:val="restart"/>
            <w:vAlign w:val="center"/>
          </w:tcPr>
          <w:p>
            <w:pPr>
              <w:jc w:val="center"/>
              <w:rPr>
                <w:rFonts w:ascii="宋体" w:hAnsi="宋体"/>
                <w:caps/>
                <w:szCs w:val="21"/>
              </w:rPr>
            </w:pPr>
            <w:r>
              <w:rPr>
                <w:rFonts w:hint="eastAsia" w:ascii="宋体" w:hAnsi="宋体"/>
                <w:caps/>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75" w:hRule="atLeast"/>
          <w:jc w:val="center"/>
        </w:trPr>
        <w:tc>
          <w:tcPr>
            <w:tcW w:w="681" w:type="dxa"/>
            <w:vMerge w:val="continue"/>
            <w:vAlign w:val="center"/>
          </w:tcPr>
          <w:p>
            <w:pPr>
              <w:widowControl/>
              <w:jc w:val="center"/>
              <w:rPr>
                <w:rFonts w:ascii="宋体" w:hAnsi="宋体"/>
                <w:caps/>
                <w:szCs w:val="21"/>
              </w:rPr>
            </w:pPr>
          </w:p>
        </w:tc>
        <w:tc>
          <w:tcPr>
            <w:tcW w:w="1737" w:type="dxa"/>
            <w:vMerge w:val="continue"/>
            <w:vAlign w:val="center"/>
          </w:tcPr>
          <w:p>
            <w:pPr>
              <w:widowControl/>
              <w:jc w:val="center"/>
              <w:rPr>
                <w:rFonts w:ascii="宋体" w:hAnsi="宋体"/>
                <w:caps/>
                <w:szCs w:val="21"/>
              </w:rPr>
            </w:pPr>
          </w:p>
        </w:tc>
        <w:tc>
          <w:tcPr>
            <w:tcW w:w="2151" w:type="dxa"/>
            <w:vAlign w:val="center"/>
          </w:tcPr>
          <w:p>
            <w:pPr>
              <w:jc w:val="center"/>
              <w:rPr>
                <w:rFonts w:ascii="宋体" w:hAnsi="宋体"/>
                <w:szCs w:val="21"/>
              </w:rPr>
            </w:pPr>
            <w:r>
              <w:rPr>
                <w:rFonts w:hint="eastAsia" w:ascii="宋体" w:hAnsi="宋体"/>
                <w:szCs w:val="21"/>
              </w:rPr>
              <w:t>2016年</w:t>
            </w:r>
          </w:p>
        </w:tc>
        <w:tc>
          <w:tcPr>
            <w:tcW w:w="2151" w:type="dxa"/>
            <w:vAlign w:val="center"/>
          </w:tcPr>
          <w:p>
            <w:pPr>
              <w:jc w:val="center"/>
              <w:rPr>
                <w:rFonts w:ascii="宋体" w:hAnsi="宋体"/>
                <w:szCs w:val="21"/>
              </w:rPr>
            </w:pPr>
            <w:r>
              <w:rPr>
                <w:rFonts w:hint="eastAsia" w:ascii="宋体" w:hAnsi="宋体"/>
                <w:szCs w:val="21"/>
              </w:rPr>
              <w:t>2017年</w:t>
            </w:r>
          </w:p>
        </w:tc>
        <w:tc>
          <w:tcPr>
            <w:tcW w:w="2151" w:type="dxa"/>
            <w:vAlign w:val="center"/>
          </w:tcPr>
          <w:p>
            <w:pPr>
              <w:jc w:val="center"/>
              <w:rPr>
                <w:rFonts w:ascii="宋体" w:hAnsi="宋体"/>
                <w:szCs w:val="21"/>
              </w:rPr>
            </w:pPr>
            <w:r>
              <w:rPr>
                <w:rFonts w:hint="eastAsia" w:ascii="宋体" w:hAnsi="宋体"/>
                <w:szCs w:val="21"/>
              </w:rPr>
              <w:t>2018年</w:t>
            </w:r>
          </w:p>
        </w:tc>
        <w:tc>
          <w:tcPr>
            <w:tcW w:w="956" w:type="dxa"/>
            <w:vMerge w:val="continue"/>
            <w:vAlign w:val="center"/>
          </w:tcPr>
          <w:p>
            <w:pPr>
              <w:jc w:val="center"/>
              <w:rPr>
                <w:rFonts w:ascii="宋体" w:hAnsi="宋体"/>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1</w:t>
            </w:r>
          </w:p>
        </w:tc>
        <w:tc>
          <w:tcPr>
            <w:tcW w:w="1737" w:type="dxa"/>
            <w:vAlign w:val="center"/>
          </w:tcPr>
          <w:p>
            <w:pPr>
              <w:rPr>
                <w:rFonts w:ascii="宋体" w:hAnsi="宋体"/>
                <w:szCs w:val="21"/>
              </w:rPr>
            </w:pPr>
            <w:r>
              <w:rPr>
                <w:rFonts w:hint="eastAsia" w:ascii="宋体" w:hAnsi="宋体"/>
                <w:szCs w:val="21"/>
              </w:rPr>
              <w:t>总资产</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2</w:t>
            </w:r>
          </w:p>
        </w:tc>
        <w:tc>
          <w:tcPr>
            <w:tcW w:w="1737" w:type="dxa"/>
            <w:vAlign w:val="center"/>
          </w:tcPr>
          <w:p>
            <w:pPr>
              <w:rPr>
                <w:rFonts w:ascii="宋体" w:hAnsi="宋体"/>
                <w:szCs w:val="21"/>
              </w:rPr>
            </w:pPr>
            <w:r>
              <w:rPr>
                <w:rFonts w:hint="eastAsia" w:ascii="宋体" w:hAnsi="宋体"/>
                <w:szCs w:val="21"/>
              </w:rPr>
              <w:t>流动资产</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3</w:t>
            </w:r>
          </w:p>
        </w:tc>
        <w:tc>
          <w:tcPr>
            <w:tcW w:w="1737" w:type="dxa"/>
            <w:vAlign w:val="center"/>
          </w:tcPr>
          <w:p>
            <w:pPr>
              <w:rPr>
                <w:rFonts w:ascii="宋体" w:hAnsi="宋体"/>
                <w:szCs w:val="21"/>
              </w:rPr>
            </w:pPr>
            <w:r>
              <w:rPr>
                <w:rFonts w:hint="eastAsia" w:ascii="宋体" w:hAnsi="宋体"/>
                <w:szCs w:val="21"/>
              </w:rPr>
              <w:t>总负债</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4</w:t>
            </w:r>
          </w:p>
        </w:tc>
        <w:tc>
          <w:tcPr>
            <w:tcW w:w="1737" w:type="dxa"/>
            <w:vAlign w:val="center"/>
          </w:tcPr>
          <w:p>
            <w:pPr>
              <w:rPr>
                <w:rFonts w:ascii="宋体" w:hAnsi="宋体"/>
                <w:szCs w:val="21"/>
              </w:rPr>
            </w:pPr>
            <w:r>
              <w:rPr>
                <w:rFonts w:hint="eastAsia" w:ascii="宋体" w:hAnsi="宋体"/>
                <w:szCs w:val="21"/>
              </w:rPr>
              <w:t>流动负债</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5</w:t>
            </w:r>
          </w:p>
        </w:tc>
        <w:tc>
          <w:tcPr>
            <w:tcW w:w="1737" w:type="dxa"/>
            <w:vAlign w:val="center"/>
          </w:tcPr>
          <w:p>
            <w:pPr>
              <w:rPr>
                <w:rFonts w:ascii="宋体" w:hAnsi="宋体"/>
                <w:szCs w:val="21"/>
              </w:rPr>
            </w:pPr>
            <w:r>
              <w:rPr>
                <w:rFonts w:hint="eastAsia" w:ascii="宋体" w:hAnsi="宋体"/>
                <w:szCs w:val="21"/>
              </w:rPr>
              <w:t>总营业额</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6</w:t>
            </w:r>
          </w:p>
        </w:tc>
        <w:tc>
          <w:tcPr>
            <w:tcW w:w="1737" w:type="dxa"/>
            <w:vAlign w:val="center"/>
          </w:tcPr>
          <w:p>
            <w:pPr>
              <w:rPr>
                <w:rFonts w:ascii="宋体" w:hAnsi="宋体"/>
                <w:szCs w:val="21"/>
              </w:rPr>
            </w:pPr>
            <w:r>
              <w:rPr>
                <w:rFonts w:hint="eastAsia" w:ascii="宋体" w:hAnsi="宋体"/>
                <w:szCs w:val="21"/>
              </w:rPr>
              <w:t>应收账款</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7</w:t>
            </w:r>
          </w:p>
        </w:tc>
        <w:tc>
          <w:tcPr>
            <w:tcW w:w="1737" w:type="dxa"/>
            <w:vAlign w:val="center"/>
          </w:tcPr>
          <w:p>
            <w:pPr>
              <w:rPr>
                <w:rFonts w:ascii="宋体" w:hAnsi="宋体"/>
                <w:szCs w:val="21"/>
              </w:rPr>
            </w:pPr>
            <w:r>
              <w:rPr>
                <w:rFonts w:hint="eastAsia" w:ascii="宋体" w:hAnsi="宋体"/>
                <w:szCs w:val="21"/>
              </w:rPr>
              <w:t>税前利润</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8</w:t>
            </w:r>
          </w:p>
        </w:tc>
        <w:tc>
          <w:tcPr>
            <w:tcW w:w="1737" w:type="dxa"/>
            <w:vAlign w:val="center"/>
          </w:tcPr>
          <w:p>
            <w:pPr>
              <w:rPr>
                <w:rFonts w:ascii="宋体" w:hAnsi="宋体"/>
                <w:szCs w:val="21"/>
              </w:rPr>
            </w:pPr>
            <w:r>
              <w:rPr>
                <w:rFonts w:hint="eastAsia" w:ascii="宋体" w:hAnsi="宋体"/>
                <w:szCs w:val="21"/>
              </w:rPr>
              <w:t>税后利润</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9</w:t>
            </w:r>
          </w:p>
        </w:tc>
        <w:tc>
          <w:tcPr>
            <w:tcW w:w="1737" w:type="dxa"/>
            <w:vAlign w:val="center"/>
          </w:tcPr>
          <w:p>
            <w:pPr>
              <w:rPr>
                <w:rFonts w:ascii="宋体" w:hAnsi="宋体"/>
                <w:szCs w:val="21"/>
              </w:rPr>
            </w:pPr>
            <w:r>
              <w:rPr>
                <w:rFonts w:hint="eastAsia" w:ascii="宋体" w:hAnsi="宋体"/>
                <w:szCs w:val="21"/>
              </w:rPr>
              <w:t>资产负债率</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10</w:t>
            </w:r>
          </w:p>
        </w:tc>
        <w:tc>
          <w:tcPr>
            <w:tcW w:w="1737" w:type="dxa"/>
            <w:vAlign w:val="center"/>
          </w:tcPr>
          <w:p>
            <w:pPr>
              <w:rPr>
                <w:rFonts w:ascii="宋体" w:hAnsi="宋体"/>
                <w:szCs w:val="21"/>
              </w:rPr>
            </w:pPr>
            <w:r>
              <w:rPr>
                <w:rFonts w:hint="eastAsia" w:ascii="宋体" w:hAnsi="宋体"/>
                <w:szCs w:val="21"/>
              </w:rPr>
              <w:t>总资产收益率</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11</w:t>
            </w:r>
          </w:p>
        </w:tc>
        <w:tc>
          <w:tcPr>
            <w:tcW w:w="1737" w:type="dxa"/>
            <w:vAlign w:val="center"/>
          </w:tcPr>
          <w:p>
            <w:pPr>
              <w:rPr>
                <w:rFonts w:ascii="宋体" w:hAnsi="宋体"/>
                <w:szCs w:val="21"/>
              </w:rPr>
            </w:pPr>
            <w:r>
              <w:rPr>
                <w:rFonts w:hint="eastAsia" w:ascii="宋体" w:hAnsi="宋体"/>
                <w:szCs w:val="21"/>
              </w:rPr>
              <w:t>流动比率</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481" w:hRule="exact"/>
          <w:jc w:val="center"/>
        </w:trPr>
        <w:tc>
          <w:tcPr>
            <w:tcW w:w="681" w:type="dxa"/>
            <w:vAlign w:val="center"/>
          </w:tcPr>
          <w:p>
            <w:pPr>
              <w:jc w:val="center"/>
              <w:rPr>
                <w:rFonts w:ascii="宋体" w:hAnsi="宋体"/>
                <w:szCs w:val="21"/>
              </w:rPr>
            </w:pPr>
            <w:r>
              <w:rPr>
                <w:rFonts w:hint="eastAsia" w:ascii="宋体" w:hAnsi="宋体"/>
                <w:szCs w:val="21"/>
              </w:rPr>
              <w:t>12</w:t>
            </w:r>
          </w:p>
        </w:tc>
        <w:tc>
          <w:tcPr>
            <w:tcW w:w="1737" w:type="dxa"/>
            <w:vAlign w:val="center"/>
          </w:tcPr>
          <w:p>
            <w:pPr>
              <w:rPr>
                <w:rFonts w:ascii="宋体" w:hAnsi="宋体"/>
                <w:szCs w:val="21"/>
              </w:rPr>
            </w:pPr>
            <w:r>
              <w:rPr>
                <w:rFonts w:hint="eastAsia" w:ascii="宋体" w:hAnsi="宋体"/>
                <w:szCs w:val="21"/>
              </w:rPr>
              <w:t>自有资产率</w:t>
            </w: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2151" w:type="dxa"/>
            <w:vAlign w:val="center"/>
          </w:tcPr>
          <w:p>
            <w:pPr>
              <w:jc w:val="center"/>
              <w:rPr>
                <w:rFonts w:ascii="宋体" w:hAnsi="宋体"/>
                <w:szCs w:val="21"/>
              </w:rPr>
            </w:pPr>
          </w:p>
        </w:tc>
        <w:tc>
          <w:tcPr>
            <w:tcW w:w="956" w:type="dxa"/>
            <w:vAlign w:val="center"/>
          </w:tcPr>
          <w:p>
            <w:pPr>
              <w:jc w:val="center"/>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792" w:hRule="exact"/>
          <w:jc w:val="center"/>
        </w:trPr>
        <w:tc>
          <w:tcPr>
            <w:tcW w:w="681" w:type="dxa"/>
            <w:vAlign w:val="center"/>
          </w:tcPr>
          <w:p>
            <w:pPr>
              <w:jc w:val="center"/>
              <w:rPr>
                <w:rFonts w:ascii="宋体" w:hAnsi="宋体"/>
                <w:szCs w:val="21"/>
              </w:rPr>
            </w:pPr>
            <w:r>
              <w:rPr>
                <w:rFonts w:hint="eastAsia" w:ascii="宋体" w:hAnsi="宋体"/>
                <w:szCs w:val="21"/>
              </w:rPr>
              <w:t>13</w:t>
            </w:r>
          </w:p>
        </w:tc>
        <w:tc>
          <w:tcPr>
            <w:tcW w:w="1737" w:type="dxa"/>
            <w:vAlign w:val="center"/>
          </w:tcPr>
          <w:p>
            <w:pPr>
              <w:rPr>
                <w:rFonts w:ascii="宋体" w:hAnsi="宋体"/>
                <w:szCs w:val="21"/>
              </w:rPr>
            </w:pPr>
            <w:r>
              <w:rPr>
                <w:rFonts w:hint="eastAsia" w:ascii="宋体" w:hAnsi="宋体"/>
                <w:szCs w:val="21"/>
              </w:rPr>
              <w:t>最近一年综合偿付能力情况</w:t>
            </w:r>
          </w:p>
        </w:tc>
        <w:tc>
          <w:tcPr>
            <w:tcW w:w="7409" w:type="dxa"/>
            <w:gridSpan w:val="4"/>
            <w:vAlign w:val="center"/>
          </w:tcPr>
          <w:p>
            <w:pPr>
              <w:jc w:val="center"/>
              <w:rPr>
                <w:rFonts w:ascii="宋体" w:hAnsi="宋体"/>
                <w:szCs w:val="21"/>
              </w:rPr>
            </w:pPr>
          </w:p>
        </w:tc>
      </w:tr>
    </w:tbl>
    <w:p>
      <w:pPr>
        <w:spacing w:line="360" w:lineRule="auto"/>
      </w:pPr>
      <w:r>
        <w:rPr>
          <w:rFonts w:hint="eastAsia"/>
        </w:rPr>
        <w:t>注：</w:t>
      </w:r>
    </w:p>
    <w:p>
      <w:pPr>
        <w:spacing w:line="360" w:lineRule="auto"/>
      </w:pPr>
      <w:r>
        <w:rPr>
          <w:rFonts w:hint="eastAsia"/>
        </w:rPr>
        <w:t>1.请根据过去三年的资产负债表、损益表等填写此表</w:t>
      </w:r>
      <w:r>
        <w:rPr>
          <w:rFonts w:hint="eastAsia"/>
          <w:b/>
        </w:rPr>
        <w:t>，并提供有关证明资料，如经审计的财务报表</w:t>
      </w:r>
      <w:r>
        <w:rPr>
          <w:rFonts w:hint="eastAsia"/>
        </w:rPr>
        <w:t>。</w:t>
      </w:r>
    </w:p>
    <w:p>
      <w:pPr>
        <w:spacing w:line="360" w:lineRule="auto"/>
      </w:pPr>
      <w:r>
        <w:rPr>
          <w:rFonts w:hint="eastAsia"/>
        </w:rPr>
        <w:t>2.上表数据具备第三方审计材料的，数据有效性与采信度将被提高。</w:t>
      </w:r>
    </w:p>
    <w:p>
      <w:pPr>
        <w:spacing w:line="360" w:lineRule="auto"/>
      </w:pPr>
      <w:r>
        <w:rPr>
          <w:rFonts w:hint="eastAsia"/>
        </w:rPr>
        <w:t>3.“资产负债率=总负债/总资产*100%”；</w:t>
      </w:r>
    </w:p>
    <w:p>
      <w:pPr>
        <w:spacing w:line="360" w:lineRule="auto"/>
        <w:ind w:firstLine="105" w:firstLineChars="50"/>
      </w:pPr>
      <w:r>
        <w:rPr>
          <w:rFonts w:hint="eastAsia"/>
        </w:rPr>
        <w:t>“总资产收益率=(净利润/平均资产总额)*100%、平均资产总额=(年初资产总额+年末资产总额)/2”；</w:t>
      </w:r>
    </w:p>
    <w:p>
      <w:pPr>
        <w:spacing w:line="360" w:lineRule="auto"/>
        <w:ind w:firstLine="105" w:firstLineChars="50"/>
      </w:pPr>
      <w:r>
        <w:rPr>
          <w:rFonts w:hint="eastAsia"/>
        </w:rPr>
        <w:t>“流动比率=流动资产/流动负债*100%”</w:t>
      </w:r>
    </w:p>
    <w:p>
      <w:pPr>
        <w:spacing w:line="360" w:lineRule="auto"/>
        <w:ind w:firstLine="105" w:firstLineChars="50"/>
      </w:pPr>
      <w:r>
        <w:rPr>
          <w:rFonts w:hint="eastAsia"/>
        </w:rPr>
        <w:t>“自有资产率=股东权益/资产总值”</w:t>
      </w:r>
    </w:p>
    <w:p>
      <w:pPr>
        <w:spacing w:line="360" w:lineRule="auto"/>
        <w:ind w:firstLine="105" w:firstLineChars="50"/>
      </w:pPr>
      <w:r>
        <w:rPr>
          <w:rFonts w:hint="eastAsia"/>
        </w:rPr>
        <w:t>“</w:t>
      </w:r>
      <w:r>
        <w:rPr>
          <w:rFonts w:hint="eastAsia" w:ascii="宋体" w:hAnsi="宋体"/>
          <w:szCs w:val="21"/>
        </w:rPr>
        <w:t>最近一年综合偿付能力情况</w:t>
      </w:r>
      <w:r>
        <w:rPr>
          <w:rFonts w:hint="eastAsia"/>
        </w:rPr>
        <w:t>”可采用各供应商官方网站发布的公告、数据，截图加盖公章，如没有，可说明最近一年到期账务的偿付情况及新举债情况。</w:t>
      </w:r>
    </w:p>
    <w:p>
      <w:pPr>
        <w:spacing w:line="360" w:lineRule="auto"/>
        <w:ind w:firstLine="105" w:firstLineChars="50"/>
      </w:pPr>
    </w:p>
    <w:p>
      <w:pPr>
        <w:spacing w:line="360" w:lineRule="auto"/>
        <w:jc w:val="left"/>
        <w:rPr>
          <w:rFonts w:ascii="宋体" w:hAnsi="宋体"/>
          <w:b/>
        </w:rPr>
      </w:pPr>
      <w:r>
        <w:rPr>
          <w:rFonts w:hint="eastAsia" w:ascii="宋体" w:hAnsi="宋体"/>
          <w:b/>
        </w:rPr>
        <w:t>（三）近三年类似项目业绩</w:t>
      </w:r>
    </w:p>
    <w:tbl>
      <w:tblPr>
        <w:tblStyle w:val="74"/>
        <w:tblW w:w="980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9"/>
        <w:gridCol w:w="1735"/>
        <w:gridCol w:w="1519"/>
        <w:gridCol w:w="1460"/>
        <w:gridCol w:w="1460"/>
        <w:gridCol w:w="1167"/>
        <w:gridCol w:w="16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690" w:hRule="atLeast"/>
          <w:jc w:val="center"/>
        </w:trPr>
        <w:tc>
          <w:tcPr>
            <w:tcW w:w="9804" w:type="dxa"/>
            <w:gridSpan w:val="7"/>
            <w:tcBorders>
              <w:bottom w:val="single" w:color="auto" w:sz="8" w:space="0"/>
            </w:tcBorders>
            <w:vAlign w:val="center"/>
          </w:tcPr>
          <w:p>
            <w:pPr>
              <w:jc w:val="left"/>
              <w:rPr>
                <w:rFonts w:ascii="宋体" w:hAnsi="宋体" w:cs="Arial"/>
                <w:szCs w:val="21"/>
              </w:rPr>
            </w:pPr>
            <w:r>
              <w:rPr>
                <w:rFonts w:hint="eastAsia" w:ascii="宋体" w:hAnsi="宋体" w:cs="宋体"/>
                <w:szCs w:val="21"/>
              </w:rPr>
              <w:t>一、近三年来（2016年1月1日（含）至今），具备全国性金融机构总部、或全国性金融机构总部专营机构（如某银行总行信用卡中心）的舆情监测案例。注：“全国性金融机构”的总资产规模须达到1万亿或以上</w:t>
            </w:r>
          </w:p>
        </w:tc>
      </w:tr>
      <w:tr>
        <w:tblPrEx>
          <w:tblLayout w:type="fixed"/>
        </w:tblPrEx>
        <w:trPr>
          <w:cantSplit/>
          <w:trHeight w:val="451" w:hRule="atLeast"/>
          <w:jc w:val="center"/>
        </w:trPr>
        <w:tc>
          <w:tcPr>
            <w:tcW w:w="859" w:type="dxa"/>
            <w:vAlign w:val="center"/>
          </w:tcPr>
          <w:p>
            <w:pPr>
              <w:jc w:val="center"/>
              <w:rPr>
                <w:rFonts w:ascii="宋体" w:hAnsi="宋体" w:cs="Arial"/>
                <w:szCs w:val="21"/>
              </w:rPr>
            </w:pPr>
            <w:r>
              <w:rPr>
                <w:rFonts w:hint="eastAsia" w:ascii="宋体" w:hAnsi="宋体" w:cs="Arial"/>
                <w:szCs w:val="21"/>
              </w:rPr>
              <w:t>序号</w:t>
            </w:r>
          </w:p>
        </w:tc>
        <w:tc>
          <w:tcPr>
            <w:tcW w:w="1735" w:type="dxa"/>
            <w:vAlign w:val="center"/>
          </w:tcPr>
          <w:p>
            <w:pPr>
              <w:jc w:val="center"/>
              <w:rPr>
                <w:rFonts w:ascii="宋体" w:hAnsi="宋体" w:cs="Arial"/>
                <w:szCs w:val="21"/>
              </w:rPr>
            </w:pPr>
            <w:r>
              <w:rPr>
                <w:rFonts w:ascii="宋体" w:hAnsi="宋体" w:cs="Arial"/>
                <w:szCs w:val="21"/>
              </w:rPr>
              <w:t>项目名称</w:t>
            </w:r>
          </w:p>
        </w:tc>
        <w:tc>
          <w:tcPr>
            <w:tcW w:w="1519" w:type="dxa"/>
            <w:vAlign w:val="center"/>
          </w:tcPr>
          <w:p>
            <w:pPr>
              <w:jc w:val="center"/>
              <w:rPr>
                <w:rFonts w:ascii="宋体" w:hAnsi="宋体" w:cs="Arial"/>
                <w:szCs w:val="21"/>
              </w:rPr>
            </w:pPr>
            <w:r>
              <w:rPr>
                <w:rFonts w:ascii="宋体" w:hAnsi="宋体" w:cs="Arial"/>
                <w:szCs w:val="21"/>
              </w:rPr>
              <w:t>委托单位</w:t>
            </w:r>
          </w:p>
        </w:tc>
        <w:tc>
          <w:tcPr>
            <w:tcW w:w="1460" w:type="dxa"/>
            <w:vAlign w:val="center"/>
          </w:tcPr>
          <w:p>
            <w:pPr>
              <w:jc w:val="center"/>
              <w:rPr>
                <w:rFonts w:ascii="宋体" w:hAnsi="宋体" w:cs="Arial"/>
                <w:szCs w:val="21"/>
              </w:rPr>
            </w:pPr>
            <w:r>
              <w:rPr>
                <w:rFonts w:hint="eastAsia" w:ascii="宋体" w:hAnsi="宋体" w:cs="Arial"/>
                <w:szCs w:val="21"/>
              </w:rPr>
              <w:t>项目范围简介</w:t>
            </w:r>
          </w:p>
        </w:tc>
        <w:tc>
          <w:tcPr>
            <w:tcW w:w="1460" w:type="dxa"/>
            <w:vAlign w:val="center"/>
          </w:tcPr>
          <w:p>
            <w:pPr>
              <w:jc w:val="center"/>
              <w:rPr>
                <w:rFonts w:ascii="宋体" w:hAnsi="宋体" w:cs="Arial"/>
                <w:szCs w:val="21"/>
              </w:rPr>
            </w:pPr>
            <w:r>
              <w:rPr>
                <w:rFonts w:ascii="宋体" w:hAnsi="宋体" w:cs="Arial"/>
                <w:szCs w:val="21"/>
              </w:rPr>
              <w:t>开始、完成时间</w:t>
            </w:r>
          </w:p>
        </w:tc>
        <w:tc>
          <w:tcPr>
            <w:tcW w:w="1167" w:type="dxa"/>
            <w:vAlign w:val="center"/>
          </w:tcPr>
          <w:p>
            <w:pPr>
              <w:jc w:val="center"/>
              <w:rPr>
                <w:rFonts w:ascii="宋体" w:hAnsi="宋体" w:cs="Arial"/>
                <w:szCs w:val="21"/>
              </w:rPr>
            </w:pPr>
            <w:r>
              <w:rPr>
                <w:rFonts w:ascii="宋体" w:hAnsi="宋体" w:cs="Arial"/>
                <w:szCs w:val="21"/>
              </w:rPr>
              <w:t>合同</w:t>
            </w:r>
          </w:p>
          <w:p>
            <w:pPr>
              <w:jc w:val="center"/>
              <w:rPr>
                <w:rFonts w:ascii="宋体" w:hAnsi="宋体" w:cs="Arial"/>
                <w:szCs w:val="21"/>
              </w:rPr>
            </w:pPr>
            <w:r>
              <w:rPr>
                <w:rFonts w:ascii="宋体" w:hAnsi="宋体" w:cs="Arial"/>
                <w:szCs w:val="21"/>
              </w:rPr>
              <w:t>总价</w:t>
            </w:r>
          </w:p>
        </w:tc>
        <w:tc>
          <w:tcPr>
            <w:tcW w:w="1604" w:type="dxa"/>
            <w:vAlign w:val="center"/>
          </w:tcPr>
          <w:p>
            <w:pPr>
              <w:jc w:val="center"/>
              <w:rPr>
                <w:rFonts w:ascii="宋体" w:hAnsi="宋体" w:cs="Arial"/>
                <w:szCs w:val="21"/>
              </w:rPr>
            </w:pPr>
            <w:r>
              <w:rPr>
                <w:rFonts w:hint="eastAsia" w:ascii="宋体" w:hAnsi="宋体" w:cs="Arial"/>
                <w:szCs w:val="21"/>
              </w:rPr>
              <w:t>第三方证明人及电话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Layout w:type="fixed"/>
        </w:tblPrEx>
        <w:trPr>
          <w:cantSplit/>
          <w:trHeight w:val="451" w:hRule="atLeast"/>
          <w:jc w:val="center"/>
        </w:trPr>
        <w:tc>
          <w:tcPr>
            <w:tcW w:w="9804" w:type="dxa"/>
            <w:gridSpan w:val="7"/>
            <w:vAlign w:val="center"/>
          </w:tcPr>
          <w:p>
            <w:pPr>
              <w:rPr>
                <w:rFonts w:ascii="宋体" w:hAnsi="宋体" w:cs="Arial"/>
                <w:szCs w:val="21"/>
              </w:rPr>
            </w:pPr>
            <w:r>
              <w:rPr>
                <w:rFonts w:hint="eastAsia" w:ascii="宋体" w:hAnsi="宋体" w:cs="Arial"/>
                <w:szCs w:val="21"/>
              </w:rPr>
              <w:t>二、近三年来（2016年1月1日（含）至今），具备全国性金融机构总部的舆情监测案例。（可与表一内容重复）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r>
              <w:rPr>
                <w:rFonts w:hint="eastAsia" w:ascii="宋体" w:hAnsi="宋体" w:cs="Arial"/>
                <w:szCs w:val="21"/>
              </w:rPr>
              <w:t>序号</w:t>
            </w:r>
          </w:p>
        </w:tc>
        <w:tc>
          <w:tcPr>
            <w:tcW w:w="1735" w:type="dxa"/>
            <w:vAlign w:val="center"/>
          </w:tcPr>
          <w:p>
            <w:pPr>
              <w:jc w:val="center"/>
              <w:rPr>
                <w:rFonts w:ascii="宋体" w:hAnsi="宋体" w:cs="Arial"/>
                <w:szCs w:val="21"/>
              </w:rPr>
            </w:pPr>
            <w:r>
              <w:rPr>
                <w:rFonts w:ascii="宋体" w:hAnsi="宋体" w:cs="Arial"/>
                <w:szCs w:val="21"/>
              </w:rPr>
              <w:t>项目名称</w:t>
            </w:r>
          </w:p>
        </w:tc>
        <w:tc>
          <w:tcPr>
            <w:tcW w:w="1519" w:type="dxa"/>
            <w:vAlign w:val="center"/>
          </w:tcPr>
          <w:p>
            <w:pPr>
              <w:jc w:val="center"/>
              <w:rPr>
                <w:rFonts w:ascii="宋体" w:hAnsi="宋体" w:cs="Arial"/>
                <w:szCs w:val="21"/>
              </w:rPr>
            </w:pPr>
            <w:r>
              <w:rPr>
                <w:rFonts w:ascii="宋体" w:hAnsi="宋体" w:cs="Arial"/>
                <w:szCs w:val="21"/>
              </w:rPr>
              <w:t>委托单位</w:t>
            </w:r>
          </w:p>
        </w:tc>
        <w:tc>
          <w:tcPr>
            <w:tcW w:w="1460" w:type="dxa"/>
            <w:vAlign w:val="center"/>
          </w:tcPr>
          <w:p>
            <w:pPr>
              <w:jc w:val="center"/>
              <w:rPr>
                <w:rFonts w:ascii="宋体" w:hAnsi="宋体" w:cs="Arial"/>
                <w:szCs w:val="21"/>
              </w:rPr>
            </w:pPr>
            <w:r>
              <w:rPr>
                <w:rFonts w:hint="eastAsia" w:ascii="宋体" w:hAnsi="宋体" w:cs="Arial"/>
                <w:szCs w:val="21"/>
              </w:rPr>
              <w:t>项目范围简介</w:t>
            </w:r>
          </w:p>
        </w:tc>
        <w:tc>
          <w:tcPr>
            <w:tcW w:w="1460" w:type="dxa"/>
            <w:vAlign w:val="center"/>
          </w:tcPr>
          <w:p>
            <w:pPr>
              <w:jc w:val="center"/>
              <w:rPr>
                <w:rFonts w:ascii="宋体" w:hAnsi="宋体" w:cs="Arial"/>
                <w:szCs w:val="21"/>
              </w:rPr>
            </w:pPr>
            <w:r>
              <w:rPr>
                <w:rFonts w:ascii="宋体" w:hAnsi="宋体" w:cs="Arial"/>
                <w:szCs w:val="21"/>
              </w:rPr>
              <w:t>开始、完成时间</w:t>
            </w:r>
          </w:p>
        </w:tc>
        <w:tc>
          <w:tcPr>
            <w:tcW w:w="1167" w:type="dxa"/>
            <w:vAlign w:val="center"/>
          </w:tcPr>
          <w:p>
            <w:pPr>
              <w:jc w:val="center"/>
              <w:rPr>
                <w:rFonts w:ascii="宋体" w:hAnsi="宋体" w:cs="Arial"/>
                <w:szCs w:val="21"/>
              </w:rPr>
            </w:pPr>
            <w:r>
              <w:rPr>
                <w:rFonts w:ascii="宋体" w:hAnsi="宋体" w:cs="Arial"/>
                <w:szCs w:val="21"/>
              </w:rPr>
              <w:t>合同</w:t>
            </w:r>
          </w:p>
          <w:p>
            <w:pPr>
              <w:jc w:val="center"/>
              <w:rPr>
                <w:rFonts w:ascii="宋体" w:hAnsi="宋体" w:cs="Arial"/>
                <w:szCs w:val="21"/>
              </w:rPr>
            </w:pPr>
            <w:r>
              <w:rPr>
                <w:rFonts w:ascii="宋体" w:hAnsi="宋体" w:cs="Arial"/>
                <w:szCs w:val="21"/>
              </w:rPr>
              <w:t>总价</w:t>
            </w:r>
          </w:p>
        </w:tc>
        <w:tc>
          <w:tcPr>
            <w:tcW w:w="1604" w:type="dxa"/>
            <w:vAlign w:val="center"/>
          </w:tcPr>
          <w:p>
            <w:pPr>
              <w:jc w:val="center"/>
              <w:rPr>
                <w:rFonts w:ascii="宋体" w:hAnsi="宋体" w:cs="Arial"/>
                <w:szCs w:val="21"/>
              </w:rPr>
            </w:pPr>
            <w:r>
              <w:rPr>
                <w:rFonts w:hint="eastAsia" w:ascii="宋体" w:hAnsi="宋体" w:cs="Arial"/>
                <w:szCs w:val="21"/>
              </w:rPr>
              <w:t>第三方证明人及电话</w:t>
            </w:r>
          </w:p>
        </w:tc>
      </w:tr>
      <w:tr>
        <w:tblPrEx>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9804" w:type="dxa"/>
            <w:gridSpan w:val="7"/>
            <w:vAlign w:val="center"/>
          </w:tcPr>
          <w:p>
            <w:pPr>
              <w:rPr>
                <w:rFonts w:ascii="宋体" w:hAnsi="宋体" w:cs="Arial"/>
                <w:szCs w:val="21"/>
              </w:rPr>
            </w:pPr>
            <w:r>
              <w:rPr>
                <w:rFonts w:hint="eastAsia" w:ascii="宋体" w:hAnsi="宋体" w:cs="Arial"/>
                <w:szCs w:val="21"/>
              </w:rPr>
              <w:t>三、近三年来（2016年1月1日（含）至今），具备全国性金融机构总部专营机构（如某银行总行信用卡中心）的舆情监测案例。（可与表一内容重复）</w:t>
            </w:r>
          </w:p>
        </w:tc>
      </w:tr>
      <w:tr>
        <w:tblPrEx>
          <w:tblLayout w:type="fixed"/>
        </w:tblPrEx>
        <w:trPr>
          <w:cantSplit/>
          <w:trHeight w:val="451" w:hRule="atLeast"/>
          <w:jc w:val="center"/>
        </w:trPr>
        <w:tc>
          <w:tcPr>
            <w:tcW w:w="859" w:type="dxa"/>
            <w:vAlign w:val="center"/>
          </w:tcPr>
          <w:p>
            <w:pPr>
              <w:jc w:val="center"/>
              <w:rPr>
                <w:rFonts w:ascii="宋体" w:hAnsi="宋体" w:cs="Arial"/>
                <w:szCs w:val="21"/>
              </w:rPr>
            </w:pPr>
            <w:r>
              <w:rPr>
                <w:rFonts w:hint="eastAsia" w:ascii="宋体" w:hAnsi="宋体" w:cs="Arial"/>
                <w:szCs w:val="21"/>
              </w:rPr>
              <w:t>序号</w:t>
            </w:r>
          </w:p>
        </w:tc>
        <w:tc>
          <w:tcPr>
            <w:tcW w:w="1735" w:type="dxa"/>
            <w:vAlign w:val="center"/>
          </w:tcPr>
          <w:p>
            <w:pPr>
              <w:jc w:val="center"/>
              <w:rPr>
                <w:rFonts w:ascii="宋体" w:hAnsi="宋体" w:cs="Arial"/>
                <w:szCs w:val="21"/>
              </w:rPr>
            </w:pPr>
            <w:r>
              <w:rPr>
                <w:rFonts w:ascii="宋体" w:hAnsi="宋体" w:cs="Arial"/>
                <w:szCs w:val="21"/>
              </w:rPr>
              <w:t>项目名称</w:t>
            </w:r>
          </w:p>
        </w:tc>
        <w:tc>
          <w:tcPr>
            <w:tcW w:w="1519" w:type="dxa"/>
            <w:vAlign w:val="center"/>
          </w:tcPr>
          <w:p>
            <w:pPr>
              <w:jc w:val="center"/>
              <w:rPr>
                <w:rFonts w:ascii="宋体" w:hAnsi="宋体" w:cs="Arial"/>
                <w:szCs w:val="21"/>
              </w:rPr>
            </w:pPr>
            <w:r>
              <w:rPr>
                <w:rFonts w:ascii="宋体" w:hAnsi="宋体" w:cs="Arial"/>
                <w:szCs w:val="21"/>
              </w:rPr>
              <w:t>委托单位</w:t>
            </w:r>
          </w:p>
        </w:tc>
        <w:tc>
          <w:tcPr>
            <w:tcW w:w="1460" w:type="dxa"/>
            <w:vAlign w:val="center"/>
          </w:tcPr>
          <w:p>
            <w:pPr>
              <w:jc w:val="center"/>
              <w:rPr>
                <w:rFonts w:ascii="宋体" w:hAnsi="宋体" w:cs="Arial"/>
                <w:szCs w:val="21"/>
              </w:rPr>
            </w:pPr>
            <w:r>
              <w:rPr>
                <w:rFonts w:hint="eastAsia" w:ascii="宋体" w:hAnsi="宋体" w:cs="Arial"/>
                <w:szCs w:val="21"/>
              </w:rPr>
              <w:t>项目范围简介</w:t>
            </w:r>
          </w:p>
        </w:tc>
        <w:tc>
          <w:tcPr>
            <w:tcW w:w="1460" w:type="dxa"/>
            <w:vAlign w:val="center"/>
          </w:tcPr>
          <w:p>
            <w:pPr>
              <w:jc w:val="center"/>
              <w:rPr>
                <w:rFonts w:ascii="宋体" w:hAnsi="宋体" w:cs="Arial"/>
                <w:szCs w:val="21"/>
              </w:rPr>
            </w:pPr>
            <w:r>
              <w:rPr>
                <w:rFonts w:ascii="宋体" w:hAnsi="宋体" w:cs="Arial"/>
                <w:szCs w:val="21"/>
              </w:rPr>
              <w:t>开始、完成时间</w:t>
            </w:r>
          </w:p>
        </w:tc>
        <w:tc>
          <w:tcPr>
            <w:tcW w:w="1167" w:type="dxa"/>
            <w:vAlign w:val="center"/>
          </w:tcPr>
          <w:p>
            <w:pPr>
              <w:jc w:val="center"/>
              <w:rPr>
                <w:rFonts w:ascii="宋体" w:hAnsi="宋体" w:cs="Arial"/>
                <w:szCs w:val="21"/>
              </w:rPr>
            </w:pPr>
            <w:r>
              <w:rPr>
                <w:rFonts w:ascii="宋体" w:hAnsi="宋体" w:cs="Arial"/>
                <w:szCs w:val="21"/>
              </w:rPr>
              <w:t>合同</w:t>
            </w:r>
          </w:p>
          <w:p>
            <w:pPr>
              <w:jc w:val="center"/>
              <w:rPr>
                <w:rFonts w:ascii="宋体" w:hAnsi="宋体" w:cs="Arial"/>
                <w:szCs w:val="21"/>
              </w:rPr>
            </w:pPr>
            <w:r>
              <w:rPr>
                <w:rFonts w:ascii="宋体" w:hAnsi="宋体" w:cs="Arial"/>
                <w:szCs w:val="21"/>
              </w:rPr>
              <w:t>总价</w:t>
            </w:r>
          </w:p>
        </w:tc>
        <w:tc>
          <w:tcPr>
            <w:tcW w:w="1604" w:type="dxa"/>
            <w:vAlign w:val="center"/>
          </w:tcPr>
          <w:p>
            <w:pPr>
              <w:jc w:val="center"/>
              <w:rPr>
                <w:rFonts w:ascii="宋体" w:hAnsi="宋体" w:cs="Arial"/>
                <w:szCs w:val="21"/>
              </w:rPr>
            </w:pPr>
            <w:r>
              <w:rPr>
                <w:rFonts w:hint="eastAsia" w:ascii="宋体" w:hAnsi="宋体" w:cs="Arial"/>
                <w:szCs w:val="21"/>
              </w:rPr>
              <w:t>第三方证明人及电话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451" w:hRule="atLeast"/>
          <w:jc w:val="center"/>
        </w:trPr>
        <w:tc>
          <w:tcPr>
            <w:tcW w:w="859" w:type="dxa"/>
            <w:vAlign w:val="center"/>
          </w:tcPr>
          <w:p>
            <w:pPr>
              <w:jc w:val="center"/>
              <w:rPr>
                <w:rFonts w:ascii="宋体" w:hAnsi="宋体" w:cs="Arial"/>
                <w:szCs w:val="21"/>
              </w:rPr>
            </w:pPr>
          </w:p>
        </w:tc>
        <w:tc>
          <w:tcPr>
            <w:tcW w:w="1735" w:type="dxa"/>
            <w:vAlign w:val="center"/>
          </w:tcPr>
          <w:p>
            <w:pPr>
              <w:jc w:val="center"/>
              <w:rPr>
                <w:rFonts w:ascii="宋体" w:hAnsi="宋体" w:cs="Arial"/>
                <w:szCs w:val="21"/>
              </w:rPr>
            </w:pPr>
          </w:p>
        </w:tc>
        <w:tc>
          <w:tcPr>
            <w:tcW w:w="1519"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460" w:type="dxa"/>
            <w:vAlign w:val="center"/>
          </w:tcPr>
          <w:p>
            <w:pPr>
              <w:jc w:val="center"/>
              <w:rPr>
                <w:rFonts w:ascii="宋体" w:hAnsi="宋体" w:cs="Arial"/>
                <w:szCs w:val="21"/>
              </w:rPr>
            </w:pPr>
          </w:p>
        </w:tc>
        <w:tc>
          <w:tcPr>
            <w:tcW w:w="1167" w:type="dxa"/>
            <w:vAlign w:val="center"/>
          </w:tcPr>
          <w:p>
            <w:pPr>
              <w:jc w:val="center"/>
              <w:rPr>
                <w:rFonts w:ascii="宋体" w:hAnsi="宋体" w:cs="Arial"/>
                <w:szCs w:val="21"/>
              </w:rPr>
            </w:pPr>
          </w:p>
        </w:tc>
        <w:tc>
          <w:tcPr>
            <w:tcW w:w="1604" w:type="dxa"/>
            <w:vAlign w:val="center"/>
          </w:tcPr>
          <w:p>
            <w:pPr>
              <w:jc w:val="center"/>
              <w:rPr>
                <w:rFonts w:ascii="宋体" w:hAnsi="宋体" w:cs="Arial"/>
                <w:szCs w:val="21"/>
              </w:rPr>
            </w:pPr>
          </w:p>
        </w:tc>
      </w:tr>
    </w:tbl>
    <w:p>
      <w:pPr>
        <w:spacing w:line="360" w:lineRule="auto"/>
      </w:pPr>
      <w:r>
        <w:rPr>
          <w:rFonts w:hint="eastAsia"/>
        </w:rPr>
        <w:t>注：</w:t>
      </w:r>
    </w:p>
    <w:p>
      <w:pPr>
        <w:spacing w:line="360" w:lineRule="auto"/>
      </w:pPr>
      <w:r>
        <w:rPr>
          <w:rFonts w:hint="eastAsia"/>
        </w:rPr>
        <w:t>（1）</w:t>
      </w:r>
      <w:r>
        <w:rPr>
          <w:rFonts w:hint="eastAsia" w:ascii="宋体" w:hAnsi="宋体" w:cs="Arial"/>
          <w:szCs w:val="21"/>
        </w:rPr>
        <w:t>业绩须以供应商名义完成，无关业绩请勿提供</w:t>
      </w:r>
      <w:r>
        <w:rPr>
          <w:rFonts w:hint="eastAsia"/>
          <w:color w:val="000000"/>
        </w:rPr>
        <w:t>，</w:t>
      </w:r>
      <w:r>
        <w:rPr>
          <w:rFonts w:hint="eastAsia"/>
        </w:rPr>
        <w:t>并附上有关业绩证明的复印件，证明材料中应尽量体现“舆情监测”的服务内容（如用户验收报告、正在执行的合同、中标（选）通知书等，</w:t>
      </w:r>
      <w:r>
        <w:rPr>
          <w:rFonts w:hint="eastAsia"/>
          <w:color w:val="000000" w:themeColor="text1"/>
          <w14:textFill>
            <w14:solidFill>
              <w14:schemeClr w14:val="tx1"/>
            </w14:solidFill>
          </w14:textFill>
        </w:rPr>
        <w:t>内容须包含项目内容及范围部分，原件备查</w:t>
      </w:r>
      <w:r>
        <w:rPr>
          <w:rFonts w:hint="eastAsia"/>
        </w:rPr>
        <w:t>）。</w:t>
      </w:r>
    </w:p>
    <w:p>
      <w:pPr>
        <w:spacing w:line="360" w:lineRule="auto"/>
      </w:pPr>
      <w:r>
        <w:rPr>
          <w:rFonts w:hint="eastAsia"/>
        </w:rPr>
        <w:t>（2）未按要求提供业绩相关证明文件将视作无效业绩，若提供的业绩存在虚假情况，采购人有权取消其中选资格并不予退还磋商保证金。</w:t>
      </w:r>
    </w:p>
    <w:p>
      <w:pPr>
        <w:spacing w:line="360" w:lineRule="auto"/>
      </w:pPr>
    </w:p>
    <w:p>
      <w:pPr>
        <w:spacing w:line="360" w:lineRule="auto"/>
        <w:jc w:val="left"/>
        <w:rPr>
          <w:rFonts w:ascii="宋体" w:hAnsi="宋体"/>
          <w:b/>
        </w:rPr>
      </w:pPr>
      <w:r>
        <w:rPr>
          <w:rFonts w:hint="eastAsia" w:ascii="宋体" w:hAnsi="宋体"/>
          <w:b/>
        </w:rPr>
        <w:t>（四）拟任执行管理及技术人员情况</w:t>
      </w:r>
      <w:r>
        <w:rPr>
          <w:rFonts w:hint="eastAsia" w:ascii="宋体" w:hAnsi="宋体"/>
          <w:b/>
          <w:color w:val="C00000"/>
        </w:rPr>
        <w:t>（按评审要求填写）</w:t>
      </w:r>
    </w:p>
    <w:tbl>
      <w:tblPr>
        <w:tblStyle w:val="74"/>
        <w:tblW w:w="10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59"/>
        <w:gridCol w:w="1828"/>
        <w:gridCol w:w="1432"/>
        <w:gridCol w:w="1432"/>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3" w:hRule="exact"/>
          <w:jc w:val="center"/>
        </w:trPr>
        <w:tc>
          <w:tcPr>
            <w:tcW w:w="2189" w:type="dxa"/>
            <w:tcBorders>
              <w:bottom w:val="nil"/>
            </w:tcBorders>
            <w:shd w:val="clear" w:color="auto" w:fill="F3F3F3"/>
            <w:vAlign w:val="center"/>
          </w:tcPr>
          <w:p>
            <w:pPr>
              <w:rPr>
                <w:szCs w:val="21"/>
              </w:rPr>
            </w:pPr>
            <w:r>
              <w:rPr>
                <w:rFonts w:hint="eastAsia" w:ascii="宋体" w:hAnsi="宋体" w:cs="宋体"/>
                <w:color w:val="000000"/>
                <w:kern w:val="0"/>
                <w:szCs w:val="21"/>
              </w:rPr>
              <w:t>团队角色</w:t>
            </w:r>
          </w:p>
        </w:tc>
        <w:tc>
          <w:tcPr>
            <w:tcW w:w="2259" w:type="dxa"/>
            <w:tcBorders>
              <w:bottom w:val="nil"/>
            </w:tcBorders>
            <w:shd w:val="clear" w:color="auto" w:fill="F3F3F3"/>
            <w:vAlign w:val="center"/>
          </w:tcPr>
          <w:p>
            <w:pPr>
              <w:rPr>
                <w:szCs w:val="21"/>
              </w:rPr>
            </w:pPr>
            <w:r>
              <w:rPr>
                <w:rFonts w:hint="eastAsia" w:ascii="宋体" w:hAnsi="宋体" w:cs="宋体"/>
                <w:color w:val="000000"/>
                <w:kern w:val="0"/>
                <w:szCs w:val="21"/>
              </w:rPr>
              <w:t>人员在供应商任职参考职位/级别</w:t>
            </w:r>
          </w:p>
        </w:tc>
        <w:tc>
          <w:tcPr>
            <w:tcW w:w="1828" w:type="dxa"/>
            <w:tcBorders>
              <w:bottom w:val="nil"/>
            </w:tcBorders>
            <w:shd w:val="clear" w:color="auto" w:fill="F3F3F3"/>
            <w:vAlign w:val="center"/>
          </w:tcPr>
          <w:p>
            <w:pPr>
              <w:jc w:val="center"/>
              <w:rPr>
                <w:szCs w:val="21"/>
              </w:rPr>
            </w:pPr>
            <w:r>
              <w:rPr>
                <w:rFonts w:hint="eastAsia" w:ascii="宋体" w:hAnsi="宋体" w:cs="宋体"/>
                <w:color w:val="000000"/>
                <w:kern w:val="0"/>
                <w:szCs w:val="21"/>
              </w:rPr>
              <w:t>从业年限</w:t>
            </w:r>
          </w:p>
        </w:tc>
        <w:tc>
          <w:tcPr>
            <w:tcW w:w="1432" w:type="dxa"/>
            <w:tcBorders>
              <w:bottom w:val="nil"/>
            </w:tcBorders>
            <w:shd w:val="clear" w:color="auto" w:fill="F3F3F3"/>
            <w:vAlign w:val="center"/>
          </w:tcPr>
          <w:p>
            <w:pPr>
              <w:jc w:val="center"/>
              <w:rPr>
                <w:rFonts w:ascii="宋体" w:hAnsi="宋体" w:cs="宋体"/>
                <w:color w:val="000000"/>
                <w:kern w:val="0"/>
                <w:szCs w:val="21"/>
              </w:rPr>
            </w:pPr>
            <w:r>
              <w:rPr>
                <w:rFonts w:hint="eastAsia" w:ascii="宋体" w:hAnsi="宋体" w:cs="宋体"/>
                <w:color w:val="000000"/>
                <w:kern w:val="0"/>
                <w:szCs w:val="21"/>
              </w:rPr>
              <w:t>资质与经验陈述</w:t>
            </w:r>
          </w:p>
        </w:tc>
        <w:tc>
          <w:tcPr>
            <w:tcW w:w="1432" w:type="dxa"/>
            <w:tcBorders>
              <w:bottom w:val="nil"/>
            </w:tcBorders>
            <w:shd w:val="clear" w:color="auto" w:fill="F3F3F3"/>
            <w:vAlign w:val="center"/>
          </w:tcPr>
          <w:p>
            <w:pPr>
              <w:jc w:val="center"/>
              <w:rPr>
                <w:szCs w:val="21"/>
              </w:rPr>
            </w:pPr>
            <w:r>
              <w:rPr>
                <w:rFonts w:hint="eastAsia" w:ascii="宋体" w:hAnsi="宋体" w:cs="宋体"/>
                <w:color w:val="000000"/>
                <w:kern w:val="0"/>
                <w:szCs w:val="21"/>
              </w:rPr>
              <w:t>服务本项目时间占比</w:t>
            </w:r>
          </w:p>
        </w:tc>
        <w:tc>
          <w:tcPr>
            <w:tcW w:w="1261" w:type="dxa"/>
            <w:tcBorders>
              <w:bottom w:val="nil"/>
            </w:tcBorders>
            <w:shd w:val="clear" w:color="auto" w:fill="F3F3F3"/>
            <w:vAlign w:val="center"/>
          </w:tcPr>
          <w:p>
            <w:pPr>
              <w:ind w:firstLine="12"/>
              <w:rPr>
                <w:szCs w:val="21"/>
              </w:rPr>
            </w:pPr>
            <w:r>
              <w:rPr>
                <w:rFonts w:hint="eastAsia"/>
                <w:szCs w:val="21"/>
              </w:rPr>
              <w:t>联系电话</w:t>
            </w:r>
            <w:r>
              <w:rPr>
                <w:szCs w:val="21"/>
              </w:rPr>
              <w:t>/</w:t>
            </w:r>
            <w:r>
              <w:rPr>
                <w:rFonts w:hint="eastAsia"/>
                <w:szCs w:val="21"/>
              </w:rPr>
              <w:t>手机</w:t>
            </w:r>
          </w:p>
        </w:tc>
      </w:tr>
      <w:tr>
        <w:tblPrEx>
          <w:tblLayout w:type="fixed"/>
        </w:tblPrEx>
        <w:trPr>
          <w:trHeight w:val="653" w:hRule="exact"/>
          <w:jc w:val="center"/>
        </w:trPr>
        <w:tc>
          <w:tcPr>
            <w:tcW w:w="2189" w:type="dxa"/>
            <w:tcBorders>
              <w:bottom w:val="nil"/>
            </w:tcBorders>
            <w:vAlign w:val="center"/>
          </w:tcPr>
          <w:p>
            <w:pPr>
              <w:rPr>
                <w:szCs w:val="21"/>
              </w:rPr>
            </w:pPr>
            <w:r>
              <w:rPr>
                <w:rFonts w:hint="eastAsia" w:ascii="宋体" w:hAnsi="宋体" w:cs="宋体"/>
                <w:color w:val="000000"/>
                <w:kern w:val="0"/>
                <w:szCs w:val="21"/>
              </w:rPr>
              <w:t>总经理/副总经理</w:t>
            </w:r>
          </w:p>
        </w:tc>
        <w:tc>
          <w:tcPr>
            <w:tcW w:w="2259" w:type="dxa"/>
            <w:tcBorders>
              <w:bottom w:val="nil"/>
            </w:tcBorders>
            <w:vAlign w:val="center"/>
          </w:tcPr>
          <w:p>
            <w:pPr>
              <w:jc w:val="center"/>
              <w:rPr>
                <w:szCs w:val="21"/>
              </w:rPr>
            </w:pPr>
          </w:p>
        </w:tc>
        <w:tc>
          <w:tcPr>
            <w:tcW w:w="1828" w:type="dxa"/>
            <w:tcBorders>
              <w:bottom w:val="nil"/>
            </w:tcBorders>
            <w:vAlign w:val="center"/>
          </w:tcPr>
          <w:p>
            <w:pPr>
              <w:jc w:val="center"/>
              <w:rPr>
                <w:szCs w:val="21"/>
              </w:rPr>
            </w:pPr>
          </w:p>
        </w:tc>
        <w:tc>
          <w:tcPr>
            <w:tcW w:w="1432" w:type="dxa"/>
            <w:tcBorders>
              <w:bottom w:val="nil"/>
            </w:tcBorders>
            <w:vAlign w:val="center"/>
          </w:tcPr>
          <w:p>
            <w:pPr>
              <w:jc w:val="center"/>
              <w:rPr>
                <w:szCs w:val="21"/>
              </w:rPr>
            </w:pPr>
          </w:p>
        </w:tc>
        <w:tc>
          <w:tcPr>
            <w:tcW w:w="1432" w:type="dxa"/>
            <w:tcBorders>
              <w:bottom w:val="nil"/>
            </w:tcBorders>
            <w:vAlign w:val="center"/>
          </w:tcPr>
          <w:p>
            <w:pPr>
              <w:jc w:val="center"/>
              <w:rPr>
                <w:szCs w:val="21"/>
              </w:rPr>
            </w:pPr>
          </w:p>
        </w:tc>
        <w:tc>
          <w:tcPr>
            <w:tcW w:w="1261" w:type="dxa"/>
            <w:tcBorders>
              <w:bottom w:val="nil"/>
            </w:tcBorders>
            <w:vAlign w:val="center"/>
          </w:tcPr>
          <w:p>
            <w:pPr>
              <w:ind w:firstLine="1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2189" w:type="dxa"/>
            <w:vAlign w:val="center"/>
          </w:tcPr>
          <w:p>
            <w:pPr>
              <w:rPr>
                <w:szCs w:val="21"/>
              </w:rPr>
            </w:pPr>
            <w:r>
              <w:rPr>
                <w:rFonts w:hint="eastAsia" w:ascii="宋体" w:hAnsi="宋体" w:cs="宋体"/>
                <w:color w:val="000000"/>
                <w:kern w:val="0"/>
                <w:szCs w:val="21"/>
              </w:rPr>
              <w:t>总监</w:t>
            </w:r>
          </w:p>
        </w:tc>
        <w:tc>
          <w:tcPr>
            <w:tcW w:w="2259" w:type="dxa"/>
            <w:vAlign w:val="center"/>
          </w:tcPr>
          <w:p>
            <w:pPr>
              <w:jc w:val="center"/>
              <w:rPr>
                <w:szCs w:val="21"/>
              </w:rPr>
            </w:pPr>
          </w:p>
        </w:tc>
        <w:tc>
          <w:tcPr>
            <w:tcW w:w="1828" w:type="dxa"/>
            <w:vAlign w:val="center"/>
          </w:tcPr>
          <w:p>
            <w:pPr>
              <w:jc w:val="center"/>
              <w:rPr>
                <w:szCs w:val="21"/>
              </w:rPr>
            </w:pPr>
          </w:p>
        </w:tc>
        <w:tc>
          <w:tcPr>
            <w:tcW w:w="1432" w:type="dxa"/>
            <w:vAlign w:val="center"/>
          </w:tcPr>
          <w:p>
            <w:pPr>
              <w:jc w:val="center"/>
              <w:rPr>
                <w:szCs w:val="21"/>
              </w:rPr>
            </w:pPr>
          </w:p>
        </w:tc>
        <w:tc>
          <w:tcPr>
            <w:tcW w:w="1432" w:type="dxa"/>
            <w:vAlign w:val="center"/>
          </w:tcPr>
          <w:p>
            <w:pPr>
              <w:jc w:val="center"/>
              <w:rPr>
                <w:szCs w:val="21"/>
              </w:rPr>
            </w:pPr>
          </w:p>
        </w:tc>
        <w:tc>
          <w:tcPr>
            <w:tcW w:w="1261" w:type="dxa"/>
            <w:vAlign w:val="center"/>
          </w:tcPr>
          <w:p>
            <w:pPr>
              <w:jc w:val="center"/>
              <w:rPr>
                <w:szCs w:val="21"/>
              </w:rPr>
            </w:pPr>
          </w:p>
        </w:tc>
      </w:tr>
      <w:tr>
        <w:tblPrEx>
          <w:tblLayout w:type="fixed"/>
        </w:tblPrEx>
        <w:trPr>
          <w:trHeight w:val="397" w:hRule="exact"/>
          <w:jc w:val="center"/>
        </w:trPr>
        <w:tc>
          <w:tcPr>
            <w:tcW w:w="2189" w:type="dxa"/>
            <w:vAlign w:val="center"/>
          </w:tcPr>
          <w:p>
            <w:pPr>
              <w:rPr>
                <w:szCs w:val="21"/>
              </w:rPr>
            </w:pPr>
            <w:r>
              <w:rPr>
                <w:rFonts w:hint="eastAsia" w:ascii="宋体" w:hAnsi="宋体" w:cs="宋体"/>
                <w:color w:val="000000"/>
                <w:kern w:val="0"/>
                <w:szCs w:val="21"/>
              </w:rPr>
              <w:t>客户经理</w:t>
            </w:r>
          </w:p>
        </w:tc>
        <w:tc>
          <w:tcPr>
            <w:tcW w:w="2259" w:type="dxa"/>
            <w:vAlign w:val="center"/>
          </w:tcPr>
          <w:p>
            <w:pPr>
              <w:jc w:val="center"/>
              <w:rPr>
                <w:szCs w:val="21"/>
              </w:rPr>
            </w:pPr>
          </w:p>
        </w:tc>
        <w:tc>
          <w:tcPr>
            <w:tcW w:w="1828" w:type="dxa"/>
            <w:vAlign w:val="center"/>
          </w:tcPr>
          <w:p>
            <w:pPr>
              <w:jc w:val="center"/>
              <w:rPr>
                <w:szCs w:val="21"/>
              </w:rPr>
            </w:pPr>
          </w:p>
        </w:tc>
        <w:tc>
          <w:tcPr>
            <w:tcW w:w="1432" w:type="dxa"/>
            <w:vAlign w:val="center"/>
          </w:tcPr>
          <w:p>
            <w:pPr>
              <w:jc w:val="center"/>
              <w:rPr>
                <w:szCs w:val="21"/>
              </w:rPr>
            </w:pPr>
          </w:p>
        </w:tc>
        <w:tc>
          <w:tcPr>
            <w:tcW w:w="1432" w:type="dxa"/>
            <w:vAlign w:val="center"/>
          </w:tcPr>
          <w:p>
            <w:pPr>
              <w:jc w:val="center"/>
              <w:rPr>
                <w:szCs w:val="21"/>
              </w:rPr>
            </w:pPr>
          </w:p>
        </w:tc>
        <w:tc>
          <w:tcPr>
            <w:tcW w:w="126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2189" w:type="dxa"/>
            <w:vMerge w:val="restart"/>
            <w:vAlign w:val="center"/>
          </w:tcPr>
          <w:p>
            <w:pPr>
              <w:rPr>
                <w:szCs w:val="21"/>
              </w:rPr>
            </w:pPr>
            <w:r>
              <w:rPr>
                <w:rFonts w:hint="eastAsia" w:ascii="宋体" w:hAnsi="宋体" w:cs="宋体"/>
                <w:color w:val="000000"/>
                <w:kern w:val="0"/>
                <w:szCs w:val="21"/>
              </w:rPr>
              <w:t>执行专员、技术人员</w:t>
            </w:r>
          </w:p>
        </w:tc>
        <w:tc>
          <w:tcPr>
            <w:tcW w:w="2259" w:type="dxa"/>
            <w:vAlign w:val="center"/>
          </w:tcPr>
          <w:p>
            <w:pPr>
              <w:jc w:val="center"/>
              <w:rPr>
                <w:szCs w:val="21"/>
              </w:rPr>
            </w:pPr>
          </w:p>
        </w:tc>
        <w:tc>
          <w:tcPr>
            <w:tcW w:w="1828" w:type="dxa"/>
            <w:vAlign w:val="center"/>
          </w:tcPr>
          <w:p>
            <w:pPr>
              <w:jc w:val="center"/>
              <w:rPr>
                <w:szCs w:val="21"/>
              </w:rPr>
            </w:pPr>
          </w:p>
        </w:tc>
        <w:tc>
          <w:tcPr>
            <w:tcW w:w="1432" w:type="dxa"/>
            <w:vAlign w:val="center"/>
          </w:tcPr>
          <w:p>
            <w:pPr>
              <w:jc w:val="center"/>
              <w:rPr>
                <w:szCs w:val="21"/>
              </w:rPr>
            </w:pPr>
          </w:p>
        </w:tc>
        <w:tc>
          <w:tcPr>
            <w:tcW w:w="1432" w:type="dxa"/>
            <w:vAlign w:val="center"/>
          </w:tcPr>
          <w:p>
            <w:pPr>
              <w:jc w:val="center"/>
              <w:rPr>
                <w:szCs w:val="21"/>
              </w:rPr>
            </w:pPr>
          </w:p>
        </w:tc>
        <w:tc>
          <w:tcPr>
            <w:tcW w:w="1261" w:type="dxa"/>
            <w:vAlign w:val="center"/>
          </w:tcPr>
          <w:p>
            <w:pPr>
              <w:jc w:val="center"/>
              <w:rPr>
                <w:szCs w:val="21"/>
              </w:rPr>
            </w:pPr>
          </w:p>
        </w:tc>
      </w:tr>
      <w:tr>
        <w:tblPrEx>
          <w:tblLayout w:type="fixed"/>
        </w:tblPrEx>
        <w:trPr>
          <w:trHeight w:val="397" w:hRule="exact"/>
          <w:jc w:val="center"/>
        </w:trPr>
        <w:tc>
          <w:tcPr>
            <w:tcW w:w="2189" w:type="dxa"/>
            <w:vMerge w:val="continue"/>
            <w:vAlign w:val="center"/>
          </w:tcPr>
          <w:p>
            <w:pPr>
              <w:jc w:val="center"/>
              <w:rPr>
                <w:szCs w:val="21"/>
              </w:rPr>
            </w:pPr>
          </w:p>
        </w:tc>
        <w:tc>
          <w:tcPr>
            <w:tcW w:w="2259" w:type="dxa"/>
            <w:vAlign w:val="center"/>
          </w:tcPr>
          <w:p>
            <w:pPr>
              <w:jc w:val="center"/>
              <w:rPr>
                <w:szCs w:val="21"/>
              </w:rPr>
            </w:pPr>
          </w:p>
        </w:tc>
        <w:tc>
          <w:tcPr>
            <w:tcW w:w="1828" w:type="dxa"/>
            <w:vAlign w:val="center"/>
          </w:tcPr>
          <w:p>
            <w:pPr>
              <w:jc w:val="center"/>
              <w:rPr>
                <w:szCs w:val="21"/>
              </w:rPr>
            </w:pPr>
          </w:p>
        </w:tc>
        <w:tc>
          <w:tcPr>
            <w:tcW w:w="1432" w:type="dxa"/>
            <w:vAlign w:val="center"/>
          </w:tcPr>
          <w:p>
            <w:pPr>
              <w:jc w:val="center"/>
              <w:rPr>
                <w:szCs w:val="21"/>
              </w:rPr>
            </w:pPr>
          </w:p>
        </w:tc>
        <w:tc>
          <w:tcPr>
            <w:tcW w:w="1432" w:type="dxa"/>
            <w:vAlign w:val="center"/>
          </w:tcPr>
          <w:p>
            <w:pPr>
              <w:jc w:val="center"/>
              <w:rPr>
                <w:szCs w:val="21"/>
              </w:rPr>
            </w:pPr>
          </w:p>
        </w:tc>
        <w:tc>
          <w:tcPr>
            <w:tcW w:w="126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2189" w:type="dxa"/>
            <w:vMerge w:val="continue"/>
            <w:vAlign w:val="center"/>
          </w:tcPr>
          <w:p>
            <w:pPr>
              <w:jc w:val="center"/>
              <w:rPr>
                <w:szCs w:val="21"/>
              </w:rPr>
            </w:pPr>
          </w:p>
        </w:tc>
        <w:tc>
          <w:tcPr>
            <w:tcW w:w="2259" w:type="dxa"/>
            <w:vAlign w:val="center"/>
          </w:tcPr>
          <w:p>
            <w:pPr>
              <w:jc w:val="center"/>
              <w:rPr>
                <w:szCs w:val="21"/>
              </w:rPr>
            </w:pPr>
            <w:r>
              <w:rPr>
                <w:rFonts w:hint="eastAsia"/>
                <w:szCs w:val="21"/>
              </w:rPr>
              <w:t>…</w:t>
            </w:r>
          </w:p>
        </w:tc>
        <w:tc>
          <w:tcPr>
            <w:tcW w:w="1828" w:type="dxa"/>
            <w:vAlign w:val="center"/>
          </w:tcPr>
          <w:p>
            <w:pPr>
              <w:jc w:val="center"/>
              <w:rPr>
                <w:szCs w:val="21"/>
              </w:rPr>
            </w:pPr>
          </w:p>
        </w:tc>
        <w:tc>
          <w:tcPr>
            <w:tcW w:w="1432" w:type="dxa"/>
            <w:vAlign w:val="center"/>
          </w:tcPr>
          <w:p>
            <w:pPr>
              <w:jc w:val="center"/>
              <w:rPr>
                <w:szCs w:val="21"/>
              </w:rPr>
            </w:pPr>
          </w:p>
        </w:tc>
        <w:tc>
          <w:tcPr>
            <w:tcW w:w="1432" w:type="dxa"/>
            <w:vAlign w:val="center"/>
          </w:tcPr>
          <w:p>
            <w:pPr>
              <w:jc w:val="center"/>
              <w:rPr>
                <w:szCs w:val="21"/>
              </w:rPr>
            </w:pPr>
          </w:p>
        </w:tc>
        <w:tc>
          <w:tcPr>
            <w:tcW w:w="1261" w:type="dxa"/>
            <w:vAlign w:val="center"/>
          </w:tcPr>
          <w:p>
            <w:pPr>
              <w:jc w:val="center"/>
              <w:rPr>
                <w:szCs w:val="21"/>
              </w:rPr>
            </w:pPr>
          </w:p>
        </w:tc>
      </w:tr>
    </w:tbl>
    <w:p>
      <w:pPr>
        <w:tabs>
          <w:tab w:val="left" w:pos="540"/>
        </w:tabs>
        <w:rPr>
          <w:b/>
          <w:sz w:val="24"/>
        </w:rPr>
      </w:pPr>
      <w:r>
        <w:rPr>
          <w:rFonts w:hint="eastAsia" w:ascii="宋体" w:cs="宋体"/>
          <w:kern w:val="0"/>
          <w:szCs w:val="21"/>
        </w:rPr>
        <w:t>注：用户需求书和详细评分表内要求的详细人员简历、相关资格证书、证明材料的复印件（如有），随本表后附。</w:t>
      </w:r>
    </w:p>
    <w:p>
      <w:pPr>
        <w:tabs>
          <w:tab w:val="left" w:pos="540"/>
        </w:tabs>
        <w:rPr>
          <w:b/>
          <w:sz w:val="24"/>
        </w:rPr>
      </w:pPr>
    </w:p>
    <w:p>
      <w:pPr>
        <w:tabs>
          <w:tab w:val="left" w:pos="180"/>
        </w:tabs>
        <w:spacing w:line="360" w:lineRule="auto"/>
        <w:ind w:left="-238"/>
        <w:rPr>
          <w:szCs w:val="21"/>
        </w:rPr>
      </w:pPr>
      <w:r>
        <w:rPr>
          <w:rFonts w:hint="eastAsia"/>
          <w:b/>
          <w:szCs w:val="21"/>
        </w:rPr>
        <w:t>（五）其它重要事项说明及承诺（供应商自行填写）</w:t>
      </w:r>
    </w:p>
    <w:p>
      <w:pPr>
        <w:tabs>
          <w:tab w:val="left" w:pos="540"/>
        </w:tabs>
        <w:ind w:firstLine="420" w:firstLineChars="200"/>
        <w:rPr>
          <w:szCs w:val="21"/>
        </w:rPr>
      </w:pPr>
    </w:p>
    <w:p>
      <w:pPr>
        <w:spacing w:before="25" w:after="25"/>
        <w:jc w:val="left"/>
        <w:rPr>
          <w:spacing w:val="10"/>
          <w:szCs w:val="21"/>
        </w:rPr>
      </w:pPr>
    </w:p>
    <w:p>
      <w:pPr>
        <w:spacing w:line="360" w:lineRule="auto"/>
        <w:ind w:right="25" w:rightChars="12" w:firstLine="3885" w:firstLineChars="1850"/>
      </w:pPr>
    </w:p>
    <w:p>
      <w:pPr>
        <w:widowControl/>
        <w:jc w:val="left"/>
      </w:pPr>
      <w:r>
        <w:br w:type="page"/>
      </w:r>
    </w:p>
    <w:p>
      <w:pPr>
        <w:spacing w:line="360" w:lineRule="auto"/>
        <w:rPr>
          <w:rFonts w:asciiTheme="minorEastAsia" w:hAnsiTheme="minorEastAsia" w:eastAsiaTheme="minorEastAsia"/>
          <w:b/>
        </w:rPr>
      </w:pPr>
      <w:r>
        <w:rPr>
          <w:rFonts w:hint="eastAsia" w:asciiTheme="minorEastAsia" w:hAnsiTheme="minorEastAsia" w:eastAsiaTheme="minorEastAsia"/>
          <w:b/>
        </w:rPr>
        <w:t>二、商务条款（合同书格式）响应</w:t>
      </w:r>
    </w:p>
    <w:p>
      <w:pPr>
        <w:spacing w:line="360" w:lineRule="auto"/>
        <w:ind w:firstLine="420" w:firstLineChars="200"/>
        <w:jc w:val="left"/>
      </w:pPr>
      <w:r>
        <w:rPr>
          <w:rFonts w:hint="eastAsia"/>
          <w:b/>
        </w:rPr>
        <w:t>（一）</w:t>
      </w:r>
      <w:r>
        <w:rPr>
          <w:rFonts w:hint="eastAsia"/>
          <w:b/>
          <w:szCs w:val="21"/>
        </w:rPr>
        <w:t>商务条款响应差异表</w:t>
      </w:r>
    </w:p>
    <w:p>
      <w:pPr>
        <w:spacing w:line="360" w:lineRule="auto"/>
        <w:ind w:firstLine="420" w:firstLineChars="200"/>
        <w:jc w:val="left"/>
        <w:rPr>
          <w:b/>
          <w:color w:val="000000" w:themeColor="text1"/>
          <w14:textFill>
            <w14:solidFill>
              <w14:schemeClr w14:val="tx1"/>
            </w14:solidFill>
          </w14:textFill>
        </w:rPr>
      </w:pPr>
      <w:r>
        <w:rPr>
          <w:rFonts w:hint="eastAsia"/>
        </w:rPr>
        <w:t>供应商应按照磋商文件要求，对本文件的相关商务服务要求做出全面响应，制做详细的商务响应方案（格式及要求见后文第四点）</w:t>
      </w: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并填写下表，未在响应表中列出的偏离，视同完全响应、无偏离。</w:t>
      </w:r>
    </w:p>
    <w:p>
      <w:pPr>
        <w:tabs>
          <w:tab w:val="left" w:pos="180"/>
        </w:tabs>
        <w:spacing w:line="360" w:lineRule="auto"/>
        <w:ind w:left="-238"/>
        <w:jc w:val="center"/>
        <w:rPr>
          <w:b/>
          <w:szCs w:val="21"/>
        </w:rPr>
      </w:pP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rFonts w:hint="eastAsia"/>
          <w:b/>
          <w:szCs w:val="21"/>
        </w:rPr>
        <w:t>商务条款响应差异表</w:t>
      </w:r>
    </w:p>
    <w:tbl>
      <w:tblPr>
        <w:tblStyle w:val="74"/>
        <w:tblW w:w="9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781"/>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6" w:hRule="atLeast"/>
          <w:jc w:val="center"/>
        </w:trPr>
        <w:tc>
          <w:tcPr>
            <w:tcW w:w="795" w:type="dxa"/>
            <w:shd w:val="clear" w:color="auto" w:fill="F3F3F3"/>
            <w:vAlign w:val="center"/>
          </w:tcPr>
          <w:p>
            <w:pPr>
              <w:jc w:val="center"/>
              <w:rPr>
                <w:bCs/>
                <w:szCs w:val="21"/>
              </w:rPr>
            </w:pPr>
            <w:r>
              <w:rPr>
                <w:rFonts w:hint="eastAsia"/>
                <w:bCs/>
                <w:szCs w:val="21"/>
              </w:rPr>
              <w:t>序号</w:t>
            </w:r>
          </w:p>
        </w:tc>
        <w:tc>
          <w:tcPr>
            <w:tcW w:w="5917" w:type="dxa"/>
            <w:shd w:val="clear" w:color="auto" w:fill="F3F3F3"/>
            <w:vAlign w:val="center"/>
          </w:tcPr>
          <w:p>
            <w:pPr>
              <w:jc w:val="center"/>
              <w:rPr>
                <w:bCs/>
                <w:szCs w:val="21"/>
              </w:rPr>
            </w:pPr>
            <w:r>
              <w:rPr>
                <w:rFonts w:hint="eastAsia"/>
                <w:bCs/>
                <w:szCs w:val="21"/>
              </w:rPr>
              <w:t>商务条款要求</w:t>
            </w:r>
          </w:p>
        </w:tc>
        <w:tc>
          <w:tcPr>
            <w:tcW w:w="781" w:type="dxa"/>
            <w:shd w:val="clear" w:color="auto" w:fill="F3F3F3"/>
            <w:vAlign w:val="center"/>
          </w:tcPr>
          <w:p>
            <w:pPr>
              <w:jc w:val="center"/>
              <w:rPr>
                <w:bCs/>
                <w:szCs w:val="21"/>
              </w:rPr>
            </w:pPr>
            <w:r>
              <w:rPr>
                <w:rFonts w:hint="eastAsia"/>
                <w:bCs/>
                <w:szCs w:val="21"/>
              </w:rPr>
              <w:t>是否响应</w:t>
            </w:r>
          </w:p>
        </w:tc>
        <w:tc>
          <w:tcPr>
            <w:tcW w:w="1238" w:type="dxa"/>
            <w:shd w:val="clear" w:color="auto" w:fill="F3F3F3"/>
            <w:vAlign w:val="center"/>
          </w:tcPr>
          <w:p>
            <w:pPr>
              <w:jc w:val="center"/>
              <w:rPr>
                <w:bCs/>
                <w:szCs w:val="21"/>
              </w:rPr>
            </w:pPr>
            <w:r>
              <w:rPr>
                <w:rFonts w:hint="eastAsia"/>
                <w:bCs/>
                <w:szCs w:val="21"/>
              </w:rPr>
              <w:t>偏离说明</w:t>
            </w:r>
          </w:p>
        </w:tc>
        <w:tc>
          <w:tcPr>
            <w:tcW w:w="1238" w:type="dxa"/>
            <w:shd w:val="clear" w:color="auto" w:fill="F3F3F3"/>
            <w:vAlign w:val="center"/>
          </w:tcPr>
          <w:p>
            <w:pPr>
              <w:jc w:val="center"/>
              <w:rPr>
                <w:bCs/>
                <w:szCs w:val="21"/>
              </w:rPr>
            </w:pPr>
            <w:r>
              <w:rPr>
                <w:rFonts w:hint="eastAsia"/>
                <w:bCs/>
                <w:szCs w:val="21"/>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3" w:hRule="atLeast"/>
          <w:jc w:val="center"/>
        </w:trPr>
        <w:tc>
          <w:tcPr>
            <w:tcW w:w="795" w:type="dxa"/>
            <w:vAlign w:val="center"/>
          </w:tcPr>
          <w:p>
            <w:pPr>
              <w:jc w:val="center"/>
              <w:rPr>
                <w:szCs w:val="21"/>
              </w:rPr>
            </w:pPr>
            <w:r>
              <w:rPr>
                <w:szCs w:val="21"/>
              </w:rPr>
              <w:t>1</w:t>
            </w:r>
          </w:p>
        </w:tc>
        <w:tc>
          <w:tcPr>
            <w:tcW w:w="5917" w:type="dxa"/>
            <w:vAlign w:val="center"/>
          </w:tcPr>
          <w:p>
            <w:pPr>
              <w:rPr>
                <w:szCs w:val="21"/>
              </w:rPr>
            </w:pPr>
            <w:r>
              <w:rPr>
                <w:rFonts w:hint="eastAsia"/>
                <w:szCs w:val="21"/>
              </w:rPr>
              <w:t>完全理解并接受对合格供应商、合格的服务要求</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3" w:hRule="atLeast"/>
          <w:jc w:val="center"/>
        </w:trPr>
        <w:tc>
          <w:tcPr>
            <w:tcW w:w="795" w:type="dxa"/>
            <w:vAlign w:val="center"/>
          </w:tcPr>
          <w:p>
            <w:pPr>
              <w:jc w:val="center"/>
              <w:rPr>
                <w:szCs w:val="21"/>
              </w:rPr>
            </w:pPr>
            <w:r>
              <w:rPr>
                <w:szCs w:val="21"/>
              </w:rPr>
              <w:t>2</w:t>
            </w:r>
          </w:p>
        </w:tc>
        <w:tc>
          <w:tcPr>
            <w:tcW w:w="5917" w:type="dxa"/>
            <w:vAlign w:val="center"/>
          </w:tcPr>
          <w:p>
            <w:pPr>
              <w:rPr>
                <w:szCs w:val="21"/>
              </w:rPr>
            </w:pPr>
            <w:r>
              <w:rPr>
                <w:rFonts w:hint="eastAsia"/>
                <w:szCs w:val="21"/>
              </w:rPr>
              <w:t>完全理解并接受对供应商的各项须知、规约要求和责任义务</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 w:hRule="atLeast"/>
          <w:jc w:val="center"/>
        </w:trPr>
        <w:tc>
          <w:tcPr>
            <w:tcW w:w="795" w:type="dxa"/>
            <w:vAlign w:val="center"/>
          </w:tcPr>
          <w:p>
            <w:pPr>
              <w:jc w:val="center"/>
              <w:rPr>
                <w:szCs w:val="21"/>
              </w:rPr>
            </w:pPr>
            <w:r>
              <w:rPr>
                <w:szCs w:val="21"/>
              </w:rPr>
              <w:t>3</w:t>
            </w:r>
          </w:p>
        </w:tc>
        <w:tc>
          <w:tcPr>
            <w:tcW w:w="5917" w:type="dxa"/>
            <w:vAlign w:val="center"/>
          </w:tcPr>
          <w:p>
            <w:pPr>
              <w:rPr>
                <w:szCs w:val="21"/>
              </w:rPr>
            </w:pPr>
            <w:r>
              <w:rPr>
                <w:rFonts w:hint="eastAsia"/>
                <w:szCs w:val="21"/>
              </w:rPr>
              <w:t>报价有效期</w:t>
            </w:r>
            <w:r>
              <w:rPr>
                <w:rFonts w:hint="eastAsia"/>
              </w:rPr>
              <w:t>为本项目采购文件供应商须知前附表规定时间，如中选，有效期将延至合同终止日为止</w:t>
            </w:r>
          </w:p>
        </w:tc>
        <w:tc>
          <w:tcPr>
            <w:tcW w:w="781" w:type="dxa"/>
            <w:vAlign w:val="center"/>
          </w:tcPr>
          <w:p>
            <w:pPr>
              <w:jc w:val="center"/>
              <w:rPr>
                <w:szCs w:val="21"/>
              </w:rPr>
            </w:pPr>
          </w:p>
        </w:tc>
        <w:tc>
          <w:tcPr>
            <w:tcW w:w="1238" w:type="dxa"/>
            <w:vAlign w:val="center"/>
          </w:tcPr>
          <w:p>
            <w:pPr>
              <w:ind w:right="-35"/>
              <w:jc w:val="center"/>
              <w:rPr>
                <w:szCs w:val="21"/>
              </w:rPr>
            </w:pPr>
          </w:p>
        </w:tc>
        <w:tc>
          <w:tcPr>
            <w:tcW w:w="1238" w:type="dxa"/>
            <w:vAlign w:val="center"/>
          </w:tcPr>
          <w:p>
            <w:pPr>
              <w:ind w:right="-35"/>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 w:hRule="atLeast"/>
          <w:jc w:val="center"/>
        </w:trPr>
        <w:tc>
          <w:tcPr>
            <w:tcW w:w="795" w:type="dxa"/>
            <w:vAlign w:val="center"/>
          </w:tcPr>
          <w:p>
            <w:pPr>
              <w:jc w:val="center"/>
              <w:rPr>
                <w:szCs w:val="21"/>
              </w:rPr>
            </w:pPr>
            <w:r>
              <w:rPr>
                <w:szCs w:val="21"/>
              </w:rPr>
              <w:t>4</w:t>
            </w:r>
          </w:p>
        </w:tc>
        <w:tc>
          <w:tcPr>
            <w:tcW w:w="5917" w:type="dxa"/>
            <w:vAlign w:val="center"/>
          </w:tcPr>
          <w:p>
            <w:pPr>
              <w:rPr>
                <w:szCs w:val="21"/>
              </w:rPr>
            </w:pPr>
            <w:r>
              <w:rPr>
                <w:rFonts w:hint="eastAsia"/>
                <w:szCs w:val="21"/>
              </w:rPr>
              <w:t>报价内容均涵盖报价要求之一切费用和伴随服务</w:t>
            </w:r>
          </w:p>
        </w:tc>
        <w:tc>
          <w:tcPr>
            <w:tcW w:w="781" w:type="dxa"/>
            <w:vAlign w:val="center"/>
          </w:tcPr>
          <w:p>
            <w:pPr>
              <w:jc w:val="center"/>
              <w:rPr>
                <w:szCs w:val="21"/>
              </w:rPr>
            </w:pPr>
          </w:p>
        </w:tc>
        <w:tc>
          <w:tcPr>
            <w:tcW w:w="1238" w:type="dxa"/>
            <w:vAlign w:val="center"/>
          </w:tcPr>
          <w:p>
            <w:pPr>
              <w:ind w:right="-35"/>
              <w:jc w:val="center"/>
              <w:rPr>
                <w:szCs w:val="21"/>
              </w:rPr>
            </w:pPr>
          </w:p>
        </w:tc>
        <w:tc>
          <w:tcPr>
            <w:tcW w:w="1238" w:type="dxa"/>
            <w:vAlign w:val="center"/>
          </w:tcPr>
          <w:p>
            <w:pPr>
              <w:ind w:right="-35"/>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 w:hRule="atLeast"/>
          <w:jc w:val="center"/>
        </w:trPr>
        <w:tc>
          <w:tcPr>
            <w:tcW w:w="795" w:type="dxa"/>
            <w:vAlign w:val="center"/>
          </w:tcPr>
          <w:p>
            <w:pPr>
              <w:jc w:val="center"/>
              <w:rPr>
                <w:szCs w:val="21"/>
              </w:rPr>
            </w:pPr>
            <w:r>
              <w:rPr>
                <w:szCs w:val="21"/>
              </w:rPr>
              <w:t>5</w:t>
            </w:r>
          </w:p>
        </w:tc>
        <w:tc>
          <w:tcPr>
            <w:tcW w:w="5917" w:type="dxa"/>
            <w:vAlign w:val="center"/>
          </w:tcPr>
          <w:p>
            <w:pPr>
              <w:rPr>
                <w:szCs w:val="21"/>
              </w:rPr>
            </w:pPr>
            <w:r>
              <w:rPr>
                <w:rFonts w:hint="eastAsia"/>
                <w:szCs w:val="21"/>
              </w:rPr>
              <w:t>所提供的报价按采购文件要求计算且未超过最高限价（如有）</w:t>
            </w:r>
          </w:p>
        </w:tc>
        <w:tc>
          <w:tcPr>
            <w:tcW w:w="781" w:type="dxa"/>
            <w:vAlign w:val="center"/>
          </w:tcPr>
          <w:p>
            <w:pPr>
              <w:jc w:val="center"/>
              <w:rPr>
                <w:szCs w:val="21"/>
              </w:rPr>
            </w:pPr>
          </w:p>
        </w:tc>
        <w:tc>
          <w:tcPr>
            <w:tcW w:w="1238" w:type="dxa"/>
            <w:vAlign w:val="center"/>
          </w:tcPr>
          <w:p>
            <w:pPr>
              <w:ind w:right="-35"/>
              <w:jc w:val="center"/>
              <w:rPr>
                <w:szCs w:val="21"/>
              </w:rPr>
            </w:pPr>
          </w:p>
        </w:tc>
        <w:tc>
          <w:tcPr>
            <w:tcW w:w="1238" w:type="dxa"/>
            <w:vAlign w:val="center"/>
          </w:tcPr>
          <w:p>
            <w:pPr>
              <w:ind w:right="-35"/>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9" w:hRule="atLeast"/>
          <w:jc w:val="center"/>
        </w:trPr>
        <w:tc>
          <w:tcPr>
            <w:tcW w:w="795" w:type="dxa"/>
            <w:vAlign w:val="center"/>
          </w:tcPr>
          <w:p>
            <w:pPr>
              <w:jc w:val="center"/>
              <w:rPr>
                <w:szCs w:val="21"/>
              </w:rPr>
            </w:pPr>
            <w:r>
              <w:rPr>
                <w:szCs w:val="21"/>
              </w:rPr>
              <w:t>6</w:t>
            </w:r>
          </w:p>
        </w:tc>
        <w:tc>
          <w:tcPr>
            <w:tcW w:w="5917" w:type="dxa"/>
            <w:vAlign w:val="center"/>
          </w:tcPr>
          <w:p>
            <w:pPr>
              <w:rPr>
                <w:szCs w:val="21"/>
              </w:rPr>
            </w:pPr>
            <w:r>
              <w:rPr>
                <w:rFonts w:hint="eastAsia"/>
                <w:szCs w:val="21"/>
              </w:rPr>
              <w:t>服务期限符合采购文件要求</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9" w:hRule="atLeast"/>
          <w:jc w:val="center"/>
        </w:trPr>
        <w:tc>
          <w:tcPr>
            <w:tcW w:w="795" w:type="dxa"/>
            <w:vAlign w:val="center"/>
          </w:tcPr>
          <w:p>
            <w:pPr>
              <w:jc w:val="center"/>
              <w:rPr>
                <w:szCs w:val="21"/>
              </w:rPr>
            </w:pPr>
            <w:r>
              <w:rPr>
                <w:szCs w:val="21"/>
              </w:rPr>
              <w:t>7</w:t>
            </w:r>
          </w:p>
        </w:tc>
        <w:tc>
          <w:tcPr>
            <w:tcW w:w="5917" w:type="dxa"/>
            <w:vAlign w:val="center"/>
          </w:tcPr>
          <w:p>
            <w:pPr>
              <w:rPr>
                <w:szCs w:val="21"/>
              </w:rPr>
            </w:pPr>
            <w:r>
              <w:rPr>
                <w:rFonts w:hint="eastAsia"/>
                <w:szCs w:val="21"/>
              </w:rPr>
              <w:t>服务承诺及要求符合采购文件要求</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9" w:hRule="atLeast"/>
          <w:jc w:val="center"/>
        </w:trPr>
        <w:tc>
          <w:tcPr>
            <w:tcW w:w="795" w:type="dxa"/>
            <w:vAlign w:val="center"/>
          </w:tcPr>
          <w:p>
            <w:pPr>
              <w:jc w:val="center"/>
              <w:rPr>
                <w:szCs w:val="21"/>
              </w:rPr>
            </w:pPr>
            <w:r>
              <w:rPr>
                <w:szCs w:val="21"/>
              </w:rPr>
              <w:t>8</w:t>
            </w:r>
          </w:p>
        </w:tc>
        <w:tc>
          <w:tcPr>
            <w:tcW w:w="5917" w:type="dxa"/>
            <w:vAlign w:val="center"/>
          </w:tcPr>
          <w:p>
            <w:pPr>
              <w:rPr>
                <w:szCs w:val="21"/>
              </w:rPr>
            </w:pPr>
            <w:r>
              <w:rPr>
                <w:rFonts w:hint="eastAsia"/>
                <w:szCs w:val="21"/>
              </w:rPr>
              <w:t>同意按本项目要求缴付相关款项（如采购文件有要求）</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jc w:val="center"/>
        </w:trPr>
        <w:tc>
          <w:tcPr>
            <w:tcW w:w="795" w:type="dxa"/>
            <w:vAlign w:val="center"/>
          </w:tcPr>
          <w:p>
            <w:pPr>
              <w:jc w:val="center"/>
              <w:rPr>
                <w:szCs w:val="21"/>
              </w:rPr>
            </w:pPr>
            <w:r>
              <w:rPr>
                <w:szCs w:val="21"/>
              </w:rPr>
              <w:t>9</w:t>
            </w:r>
          </w:p>
        </w:tc>
        <w:tc>
          <w:tcPr>
            <w:tcW w:w="5917" w:type="dxa"/>
            <w:vAlign w:val="center"/>
          </w:tcPr>
          <w:p>
            <w:pPr>
              <w:rPr>
                <w:szCs w:val="21"/>
              </w:rPr>
            </w:pPr>
            <w:r>
              <w:rPr>
                <w:rFonts w:hint="eastAsia"/>
                <w:szCs w:val="21"/>
              </w:rPr>
              <w:t>同意采购方以任何形式对我方响应文件内容的真实性和有效性进行审查、验证</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jc w:val="center"/>
        </w:trPr>
        <w:tc>
          <w:tcPr>
            <w:tcW w:w="795" w:type="dxa"/>
            <w:vAlign w:val="center"/>
          </w:tcPr>
          <w:p>
            <w:pPr>
              <w:jc w:val="center"/>
              <w:rPr>
                <w:szCs w:val="21"/>
              </w:rPr>
            </w:pPr>
            <w:r>
              <w:rPr>
                <w:szCs w:val="21"/>
              </w:rPr>
              <w:t>10</w:t>
            </w:r>
          </w:p>
        </w:tc>
        <w:tc>
          <w:tcPr>
            <w:tcW w:w="5917" w:type="dxa"/>
            <w:vAlign w:val="center"/>
          </w:tcPr>
          <w:p>
            <w:pPr>
              <w:rPr>
                <w:szCs w:val="21"/>
              </w:rPr>
            </w:pPr>
            <w:r>
              <w:rPr>
                <w:rFonts w:hint="eastAsia"/>
                <w:szCs w:val="21"/>
              </w:rPr>
              <w:t>交货或服务完工期：符合采购文件要求。</w:t>
            </w:r>
          </w:p>
        </w:tc>
        <w:tc>
          <w:tcPr>
            <w:tcW w:w="781" w:type="dxa"/>
            <w:vAlign w:val="center"/>
          </w:tcPr>
          <w:p>
            <w:pPr>
              <w:jc w:val="center"/>
              <w:rPr>
                <w:szCs w:val="21"/>
              </w:rPr>
            </w:pPr>
          </w:p>
        </w:tc>
        <w:tc>
          <w:tcPr>
            <w:tcW w:w="1238" w:type="dxa"/>
            <w:vAlign w:val="center"/>
          </w:tcPr>
          <w:p>
            <w:pPr>
              <w:jc w:val="cente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jc w:val="center"/>
        </w:trPr>
        <w:tc>
          <w:tcPr>
            <w:tcW w:w="795" w:type="dxa"/>
            <w:vAlign w:val="center"/>
          </w:tcPr>
          <w:p>
            <w:pPr>
              <w:jc w:val="center"/>
              <w:rPr>
                <w:szCs w:val="21"/>
              </w:rPr>
            </w:pPr>
          </w:p>
        </w:tc>
        <w:tc>
          <w:tcPr>
            <w:tcW w:w="5917" w:type="dxa"/>
            <w:vAlign w:val="center"/>
          </w:tcPr>
          <w:p>
            <w:pPr>
              <w:rPr>
                <w:szCs w:val="21"/>
              </w:rPr>
            </w:pPr>
            <w:r>
              <w:rPr>
                <w:szCs w:val="21"/>
              </w:rPr>
              <w:t>……</w:t>
            </w:r>
            <w:r>
              <w:rPr>
                <w:rFonts w:hint="eastAsia"/>
                <w:szCs w:val="21"/>
              </w:rPr>
              <w:t>（由供应商根据商务服务要求添加）</w:t>
            </w:r>
          </w:p>
        </w:tc>
        <w:tc>
          <w:tcPr>
            <w:tcW w:w="781" w:type="dxa"/>
            <w:vAlign w:val="center"/>
          </w:tcPr>
          <w:p>
            <w:pPr>
              <w:jc w:val="center"/>
              <w:rPr>
                <w:szCs w:val="21"/>
              </w:rPr>
            </w:pPr>
          </w:p>
        </w:tc>
        <w:tc>
          <w:tcPr>
            <w:tcW w:w="1238" w:type="dxa"/>
            <w:vAlign w:val="center"/>
          </w:tcPr>
          <w:p>
            <w:pP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jc w:val="center"/>
        </w:trPr>
        <w:tc>
          <w:tcPr>
            <w:tcW w:w="795" w:type="dxa"/>
            <w:vAlign w:val="center"/>
          </w:tcPr>
          <w:p>
            <w:pPr>
              <w:jc w:val="center"/>
              <w:rPr>
                <w:szCs w:val="21"/>
              </w:rPr>
            </w:pPr>
          </w:p>
        </w:tc>
        <w:tc>
          <w:tcPr>
            <w:tcW w:w="5917" w:type="dxa"/>
            <w:vAlign w:val="center"/>
          </w:tcPr>
          <w:p>
            <w:pPr>
              <w:rPr>
                <w:szCs w:val="21"/>
              </w:rPr>
            </w:pPr>
            <w:r>
              <w:rPr>
                <w:szCs w:val="21"/>
              </w:rPr>
              <w:t>……</w:t>
            </w:r>
          </w:p>
        </w:tc>
        <w:tc>
          <w:tcPr>
            <w:tcW w:w="781" w:type="dxa"/>
            <w:vAlign w:val="center"/>
          </w:tcPr>
          <w:p>
            <w:pPr>
              <w:jc w:val="center"/>
              <w:rPr>
                <w:szCs w:val="21"/>
              </w:rPr>
            </w:pPr>
          </w:p>
        </w:tc>
        <w:tc>
          <w:tcPr>
            <w:tcW w:w="1238" w:type="dxa"/>
            <w:vAlign w:val="center"/>
          </w:tcPr>
          <w:p>
            <w:pPr>
              <w:rPr>
                <w:szCs w:val="21"/>
              </w:rPr>
            </w:pPr>
          </w:p>
        </w:tc>
        <w:tc>
          <w:tcPr>
            <w:tcW w:w="123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795" w:type="dxa"/>
            <w:vAlign w:val="center"/>
          </w:tcPr>
          <w:p>
            <w:pPr>
              <w:jc w:val="center"/>
              <w:rPr>
                <w:szCs w:val="21"/>
              </w:rPr>
            </w:pPr>
            <w:r>
              <w:rPr>
                <w:szCs w:val="21"/>
              </w:rPr>
              <w:t>…</w:t>
            </w:r>
          </w:p>
        </w:tc>
        <w:tc>
          <w:tcPr>
            <w:tcW w:w="5917" w:type="dxa"/>
            <w:vAlign w:val="center"/>
          </w:tcPr>
          <w:p>
            <w:pPr>
              <w:rPr>
                <w:szCs w:val="21"/>
              </w:rPr>
            </w:pPr>
            <w:r>
              <w:rPr>
                <w:rFonts w:hint="eastAsia"/>
                <w:szCs w:val="21"/>
              </w:rPr>
              <w:t>其它商务条款偏离说明：</w:t>
            </w:r>
          </w:p>
          <w:p>
            <w:pPr>
              <w:rPr>
                <w:szCs w:val="21"/>
              </w:rPr>
            </w:pPr>
          </w:p>
          <w:p>
            <w:pPr>
              <w:rPr>
                <w:szCs w:val="21"/>
              </w:rPr>
            </w:pPr>
          </w:p>
        </w:tc>
        <w:tc>
          <w:tcPr>
            <w:tcW w:w="781" w:type="dxa"/>
            <w:vAlign w:val="center"/>
          </w:tcPr>
          <w:p>
            <w:pPr>
              <w:jc w:val="center"/>
              <w:rPr>
                <w:szCs w:val="21"/>
              </w:rPr>
            </w:pPr>
          </w:p>
        </w:tc>
        <w:tc>
          <w:tcPr>
            <w:tcW w:w="1238" w:type="dxa"/>
            <w:vAlign w:val="center"/>
          </w:tcPr>
          <w:p>
            <w:pPr>
              <w:rPr>
                <w:szCs w:val="21"/>
              </w:rPr>
            </w:pPr>
          </w:p>
        </w:tc>
        <w:tc>
          <w:tcPr>
            <w:tcW w:w="1238" w:type="dxa"/>
            <w:vAlign w:val="center"/>
          </w:tcPr>
          <w:p>
            <w:pPr>
              <w:jc w:val="center"/>
              <w:rPr>
                <w:szCs w:val="21"/>
              </w:rPr>
            </w:pPr>
          </w:p>
        </w:tc>
      </w:tr>
    </w:tbl>
    <w:p>
      <w:pPr>
        <w:spacing w:line="360" w:lineRule="auto"/>
        <w:rPr>
          <w:szCs w:val="21"/>
        </w:rPr>
      </w:pPr>
      <w:r>
        <w:rPr>
          <w:rFonts w:hint="eastAsia"/>
          <w:szCs w:val="21"/>
        </w:rPr>
        <w:t>注：</w:t>
      </w:r>
    </w:p>
    <w:p>
      <w:pPr>
        <w:spacing w:line="360" w:lineRule="auto"/>
        <w:rPr>
          <w:szCs w:val="21"/>
        </w:rPr>
      </w:pPr>
      <w:r>
        <w:rPr>
          <w:szCs w:val="21"/>
        </w:rPr>
        <w:t>1.</w:t>
      </w:r>
      <w:r>
        <w:rPr>
          <w:rFonts w:hint="eastAsia"/>
          <w:szCs w:val="21"/>
        </w:rPr>
        <w:t>对于上述要求，如供应商完全响应，则请在“是否响应”栏内打“√”或留空白；打“×”视为偏离，请在“偏离说明”栏内扼要说明偏离情况。</w:t>
      </w:r>
    </w:p>
    <w:p>
      <w:pPr>
        <w:tabs>
          <w:tab w:val="left" w:pos="180"/>
        </w:tabs>
        <w:spacing w:line="360" w:lineRule="auto"/>
        <w:rPr>
          <w:b/>
          <w:szCs w:val="21"/>
        </w:rPr>
      </w:pPr>
      <w:r>
        <w:rPr>
          <w:szCs w:val="21"/>
        </w:rPr>
        <w:t>2.</w:t>
      </w:r>
      <w:r>
        <w:rPr>
          <w:rFonts w:hint="eastAsia"/>
          <w:szCs w:val="21"/>
        </w:rPr>
        <w:t>此表内容必须与实施方案中所介绍的内容一致。</w:t>
      </w:r>
    </w:p>
    <w:p>
      <w:pPr>
        <w:spacing w:line="360" w:lineRule="auto"/>
        <w:ind w:firstLine="526" w:firstLineChars="250"/>
        <w:rPr>
          <w:b/>
          <w:szCs w:val="21"/>
        </w:rPr>
      </w:pPr>
    </w:p>
    <w:p>
      <w:pPr>
        <w:widowControl/>
        <w:jc w:val="left"/>
        <w:rPr>
          <w:b/>
          <w:szCs w:val="21"/>
        </w:rPr>
      </w:pPr>
      <w:r>
        <w:rPr>
          <w:b/>
          <w:szCs w:val="21"/>
        </w:rPr>
        <w:br w:type="page"/>
      </w:r>
    </w:p>
    <w:p>
      <w:pPr>
        <w:spacing w:line="360" w:lineRule="auto"/>
        <w:ind w:firstLine="420" w:firstLineChars="200"/>
        <w:jc w:val="left"/>
        <w:rPr>
          <w:b/>
          <w:szCs w:val="21"/>
        </w:rPr>
      </w:pPr>
      <w:r>
        <w:rPr>
          <w:rFonts w:hint="eastAsia"/>
          <w:b/>
          <w:szCs w:val="21"/>
        </w:rPr>
        <w:t>（二）</w:t>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rFonts w:hint="eastAsia"/>
          <w:b/>
          <w:szCs w:val="21"/>
        </w:rPr>
        <w:t>合同格式条款响应差异表</w:t>
      </w:r>
    </w:p>
    <w:p>
      <w:pPr>
        <w:spacing w:line="360" w:lineRule="auto"/>
        <w:ind w:firstLine="420" w:firstLineChars="200"/>
        <w:rPr>
          <w:b/>
          <w:color w:val="000000" w:themeColor="text1"/>
          <w14:textFill>
            <w14:solidFill>
              <w14:schemeClr w14:val="tx1"/>
            </w14:solidFill>
          </w14:textFill>
        </w:rPr>
      </w:pPr>
      <w:r>
        <w:rPr>
          <w:rFonts w:hint="eastAsia"/>
        </w:rPr>
        <w:t>供应商应按照磋商文件要求，对本文件第四部分“合同书格式”内容做出全面响应，制做详细的合同条款响应方案（格式及要求见后文第四点）</w:t>
      </w:r>
      <w:r>
        <w:rPr>
          <w:rFonts w:hint="eastAsia"/>
          <w:b/>
          <w:color w:val="000000" w:themeColor="text1"/>
          <w14:textFill>
            <w14:solidFill>
              <w14:schemeClr w14:val="tx1"/>
            </w14:solidFill>
          </w14:textFill>
        </w:rPr>
        <w:t>，该响应方案应逐项对应本文件第四部分“合同书格式”各点的要求作出逐条响应，并清晰描述各点的响应情况，并填写下表，未在响应表中列出的偏离，视同完全响应、无偏离。</w:t>
      </w:r>
    </w:p>
    <w:p>
      <w:pPr>
        <w:spacing w:line="360" w:lineRule="auto"/>
        <w:ind w:firstLine="420" w:firstLineChars="200"/>
        <w:jc w:val="center"/>
      </w:pPr>
      <w:r>
        <w:rPr>
          <w:rFonts w:hint="eastAsia"/>
          <w:b/>
          <w:szCs w:val="21"/>
        </w:rPr>
        <w:t>合同格式条款响应差异表</w:t>
      </w:r>
    </w:p>
    <w:tbl>
      <w:tblPr>
        <w:tblStyle w:val="74"/>
        <w:tblW w:w="10324" w:type="dxa"/>
        <w:jc w:val="center"/>
        <w:tblInd w:w="0" w:type="dxa"/>
        <w:tblLayout w:type="fixed"/>
        <w:tblCellMar>
          <w:top w:w="0" w:type="dxa"/>
          <w:left w:w="108" w:type="dxa"/>
          <w:bottom w:w="0" w:type="dxa"/>
          <w:right w:w="108" w:type="dxa"/>
        </w:tblCellMar>
      </w:tblPr>
      <w:tblGrid>
        <w:gridCol w:w="992"/>
        <w:gridCol w:w="1418"/>
        <w:gridCol w:w="2974"/>
        <w:gridCol w:w="849"/>
        <w:gridCol w:w="1559"/>
        <w:gridCol w:w="1266"/>
        <w:gridCol w:w="1266"/>
      </w:tblGrid>
      <w:tr>
        <w:tblPrEx>
          <w:tblLayout w:type="fixed"/>
        </w:tblPrEx>
        <w:trPr>
          <w:trHeight w:val="256" w:hRule="atLeast"/>
          <w:jc w:val="center"/>
        </w:trPr>
        <w:tc>
          <w:tcPr>
            <w:tcW w:w="992" w:type="dxa"/>
            <w:vMerge w:val="restart"/>
            <w:tcBorders>
              <w:top w:val="single" w:color="auto" w:sz="4" w:space="0"/>
              <w:left w:val="single" w:color="auto" w:sz="4" w:space="0"/>
              <w:right w:val="single" w:color="auto" w:sz="4" w:space="0"/>
            </w:tcBorders>
            <w:shd w:val="clear" w:color="auto" w:fill="auto"/>
            <w:vAlign w:val="center"/>
          </w:tcPr>
          <w:p>
            <w:pPr>
              <w:rPr>
                <w:rFonts w:ascii="Calibri" w:hAnsi="Calibri" w:cs="Calibri"/>
                <w:szCs w:val="22"/>
              </w:rPr>
            </w:pPr>
          </w:p>
        </w:tc>
        <w:tc>
          <w:tcPr>
            <w:tcW w:w="4392"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000000"/>
                <w:highlight w:val="yellow"/>
              </w:rPr>
            </w:pPr>
            <w:r>
              <w:rPr>
                <w:rFonts w:hint="eastAsia" w:ascii="宋体" w:hAnsi="宋体" w:cs="宋体"/>
                <w:color w:val="000000"/>
                <w:szCs w:val="21"/>
              </w:rPr>
              <w:t>采购文件</w:t>
            </w:r>
          </w:p>
        </w:tc>
        <w:tc>
          <w:tcPr>
            <w:tcW w:w="4940" w:type="dxa"/>
            <w:gridSpan w:val="4"/>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ascii="宋体" w:hAnsi="宋体" w:cs="宋体"/>
                <w:color w:val="000000"/>
                <w:szCs w:val="21"/>
              </w:rPr>
              <w:t>响应文件</w:t>
            </w:r>
          </w:p>
        </w:tc>
      </w:tr>
      <w:tr>
        <w:tblPrEx>
          <w:tblLayout w:type="fixed"/>
        </w:tblPrEx>
        <w:trPr>
          <w:trHeight w:val="681" w:hRule="atLeast"/>
          <w:jc w:val="center"/>
        </w:trPr>
        <w:tc>
          <w:tcPr>
            <w:tcW w:w="992"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合同条款号</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条款内容概括</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bCs/>
                <w:szCs w:val="21"/>
              </w:rPr>
              <w:t>是否响应</w:t>
            </w: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bCs/>
                <w:szCs w:val="21"/>
              </w:rPr>
              <w:t>偏离说明</w:t>
            </w:r>
          </w:p>
        </w:tc>
        <w:tc>
          <w:tcPr>
            <w:tcW w:w="1266" w:type="dxa"/>
            <w:tcBorders>
              <w:top w:val="single" w:color="auto" w:sz="4" w:space="0"/>
              <w:left w:val="nil"/>
              <w:bottom w:val="single" w:color="auto" w:sz="4" w:space="0"/>
              <w:right w:val="single" w:color="auto" w:sz="4" w:space="0"/>
            </w:tcBorders>
            <w:vAlign w:val="center"/>
          </w:tcPr>
          <w:p>
            <w:pPr>
              <w:spacing w:line="360" w:lineRule="auto"/>
              <w:jc w:val="center"/>
              <w:rPr>
                <w:bCs/>
                <w:szCs w:val="21"/>
              </w:rPr>
            </w:pPr>
            <w:r>
              <w:rPr>
                <w:rFonts w:hint="eastAsia"/>
                <w:bCs/>
                <w:szCs w:val="21"/>
              </w:rPr>
              <w:t>响应文件页码</w:t>
            </w:r>
          </w:p>
        </w:tc>
      </w:tr>
      <w:tr>
        <w:tblPrEx>
          <w:tblLayout w:type="fixed"/>
        </w:tblPrEx>
        <w:trPr>
          <w:jc w:val="center"/>
        </w:trPr>
        <w:tc>
          <w:tcPr>
            <w:tcW w:w="992" w:type="dxa"/>
            <w:vMerge w:val="restart"/>
            <w:tcBorders>
              <w:top w:val="nil"/>
              <w:left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合同书格式</w:t>
            </w:r>
          </w:p>
        </w:tc>
        <w:tc>
          <w:tcPr>
            <w:tcW w:w="1418" w:type="dxa"/>
            <w:tcBorders>
              <w:top w:val="single" w:color="auto" w:sz="4" w:space="0"/>
              <w:left w:val="nil"/>
              <w:bottom w:val="single" w:color="auto" w:sz="4" w:space="0"/>
              <w:right w:val="single" w:color="auto" w:sz="4" w:space="0"/>
            </w:tcBorders>
            <w:shd w:val="clear" w:color="auto" w:fill="auto"/>
            <w:vAlign w:val="center"/>
          </w:tcPr>
          <w:p>
            <w:r>
              <w:rPr>
                <w:rFonts w:hint="eastAsia" w:cs="宋体"/>
                <w:szCs w:val="21"/>
              </w:rPr>
              <w:t>一</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Theme="minorEastAsia" w:hAnsiTheme="minorEastAsia" w:eastAsiaTheme="minorEastAsia"/>
                <w:szCs w:val="21"/>
              </w:rPr>
              <w:t>合同标的（服务）</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r>
              <w:rPr>
                <w:rFonts w:hint="eastAsia" w:cs="宋体"/>
                <w:szCs w:val="21"/>
              </w:rPr>
              <w:t>二</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合同价款及其支付方式</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r>
              <w:rPr>
                <w:rFonts w:hint="eastAsia" w:cs="宋体"/>
                <w:szCs w:val="21"/>
              </w:rPr>
              <w:t>三</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服务期限</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r>
              <w:rPr>
                <w:rFonts w:hint="eastAsia" w:ascii="宋体" w:hAnsi="宋体" w:cs="宋体"/>
                <w:color w:val="000000"/>
                <w:szCs w:val="21"/>
              </w:rPr>
              <w:t>四</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服务要求及验收</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r>
              <w:rPr>
                <w:rFonts w:hint="eastAsia" w:cs="宋体"/>
                <w:szCs w:val="21"/>
              </w:rPr>
              <w:t>五</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服务人员安排及要求</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六</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甲方的协助</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七</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监督检查</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八</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权利保护</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九</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服务分包与转包</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合同责任</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十一</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保密条款</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十二</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不可抗力</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十三</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合同生效、变更与解除</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十四</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反贪污贿赂条款</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十五</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法律适用及争议解决</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十六</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附则</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十七</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其他约定</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cs="宋体"/>
                <w:szCs w:val="21"/>
              </w:rPr>
            </w:pPr>
            <w:r>
              <w:rPr>
                <w:rFonts w:hint="eastAsia" w:cs="宋体"/>
                <w:szCs w:val="21"/>
              </w:rPr>
              <w:t>附件</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rPr>
              <w:t>共三份</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rPr>
            </w:pPr>
          </w:p>
        </w:tc>
      </w:tr>
    </w:tbl>
    <w:p>
      <w:pPr>
        <w:spacing w:line="360" w:lineRule="auto"/>
        <w:jc w:val="left"/>
      </w:pPr>
      <w:r>
        <w:rPr>
          <w:rFonts w:hint="eastAsia"/>
        </w:rPr>
        <w:t>注：</w:t>
      </w:r>
    </w:p>
    <w:p>
      <w:pPr>
        <w:spacing w:line="360" w:lineRule="auto"/>
        <w:jc w:val="left"/>
      </w:pPr>
      <w:r>
        <w:rPr>
          <w:rFonts w:hint="eastAsia"/>
        </w:rPr>
        <w:t>1.供应商须对照磋商文件第四部分“合同书格式”的合同条款内容要求，在差异表中逐条写明实际响应的具体情况。</w:t>
      </w:r>
    </w:p>
    <w:p>
      <w:pPr>
        <w:spacing w:line="360" w:lineRule="auto"/>
        <w:rPr>
          <w:szCs w:val="21"/>
        </w:rPr>
      </w:pPr>
      <w:r>
        <w:rPr>
          <w:rFonts w:hint="eastAsia"/>
        </w:rPr>
        <w:t>2.</w:t>
      </w:r>
      <w:r>
        <w:rPr>
          <w:rFonts w:hint="eastAsia"/>
          <w:szCs w:val="21"/>
        </w:rPr>
        <w:t>如供应商完全响应，则请在“是否响应”栏内打“√”或留空白；打“×”视为偏离，请在“偏离说明”栏内扼要说明偏离情况。</w:t>
      </w:r>
    </w:p>
    <w:p>
      <w:pPr>
        <w:spacing w:line="360" w:lineRule="auto"/>
        <w:jc w:val="left"/>
        <w:rPr>
          <w:b/>
          <w:color w:val="000000" w:themeColor="text1"/>
          <w14:textFill>
            <w14:solidFill>
              <w14:schemeClr w14:val="tx1"/>
            </w14:solidFill>
          </w14:textFill>
        </w:rPr>
      </w:pPr>
    </w:p>
    <w:p>
      <w:pPr>
        <w:widowControl/>
        <w:jc w:val="left"/>
        <w:rPr>
          <w:rFonts w:ascii="宋体" w:hAnsi="宋体"/>
          <w:b/>
        </w:rPr>
      </w:pPr>
      <w:r>
        <w:rPr>
          <w:rFonts w:ascii="宋体" w:hAnsi="宋体"/>
          <w:b/>
        </w:rPr>
        <w:br w:type="page"/>
      </w:r>
    </w:p>
    <w:p>
      <w:pPr>
        <w:spacing w:line="360" w:lineRule="auto"/>
        <w:rPr>
          <w:rFonts w:asciiTheme="minorEastAsia" w:hAnsiTheme="minorEastAsia" w:eastAsiaTheme="minorEastAsia"/>
          <w:b/>
        </w:rPr>
      </w:pPr>
      <w:r>
        <w:rPr>
          <w:rFonts w:hint="eastAsia" w:asciiTheme="minorEastAsia" w:hAnsiTheme="minorEastAsia" w:eastAsiaTheme="minorEastAsia"/>
          <w:b/>
        </w:rPr>
        <w:t>三、技术条款（用户需求书）响应</w:t>
      </w:r>
    </w:p>
    <w:p>
      <w:pPr>
        <w:spacing w:line="360" w:lineRule="auto"/>
        <w:rPr>
          <w:b/>
        </w:rPr>
      </w:pPr>
      <w:r>
        <w:rPr>
          <w:rFonts w:hint="eastAsia"/>
          <w:b/>
        </w:rPr>
        <w:t>（一）技术响应差异表</w:t>
      </w:r>
    </w:p>
    <w:p>
      <w:pPr>
        <w:spacing w:line="360" w:lineRule="auto"/>
        <w:ind w:firstLine="420" w:firstLineChars="200"/>
        <w:rPr>
          <w:b/>
          <w:color w:val="000000" w:themeColor="text1"/>
          <w14:textFill>
            <w14:solidFill>
              <w14:schemeClr w14:val="tx1"/>
            </w14:solidFill>
          </w14:textFill>
        </w:rPr>
      </w:pPr>
      <w:r>
        <w:rPr>
          <w:rFonts w:hint="eastAsia"/>
        </w:rPr>
        <w:t>供应商应按照磋商文件要求，对本文件第三部分“用户需求书”内容（已在《商务响应表》列示的商务响应内容除外）做出全面响应，制做详细的技术响应方案。该响</w:t>
      </w:r>
      <w:r>
        <w:rPr>
          <w:rFonts w:hint="eastAsia"/>
          <w:color w:val="000000" w:themeColor="text1"/>
          <w14:textFill>
            <w14:solidFill>
              <w14:schemeClr w14:val="tx1"/>
            </w14:solidFill>
          </w14:textFill>
        </w:rPr>
        <w:t>应方案应</w:t>
      </w:r>
      <w:r>
        <w:rPr>
          <w:rFonts w:hint="eastAsia"/>
          <w:b/>
          <w:color w:val="000000" w:themeColor="text1"/>
          <w14:textFill>
            <w14:solidFill>
              <w14:schemeClr w14:val="tx1"/>
            </w14:solidFill>
          </w14:textFill>
        </w:rPr>
        <w:t>逐项</w:t>
      </w:r>
      <w:r>
        <w:rPr>
          <w:rFonts w:hint="eastAsia"/>
          <w:color w:val="000000" w:themeColor="text1"/>
          <w14:textFill>
            <w14:solidFill>
              <w14:schemeClr w14:val="tx1"/>
            </w14:solidFill>
          </w14:textFill>
        </w:rPr>
        <w:t>对应本文件第三部分“用户需求书”各点的要求</w:t>
      </w:r>
      <w:r>
        <w:rPr>
          <w:rFonts w:hint="eastAsia"/>
          <w:b/>
          <w:color w:val="000000" w:themeColor="text1"/>
          <w14:textFill>
            <w14:solidFill>
              <w14:schemeClr w14:val="tx1"/>
            </w14:solidFill>
          </w14:textFill>
        </w:rPr>
        <w:t>作出逐条</w:t>
      </w:r>
      <w:r>
        <w:rPr>
          <w:rFonts w:hint="eastAsia"/>
          <w:color w:val="000000" w:themeColor="text1"/>
          <w14:textFill>
            <w14:solidFill>
              <w14:schemeClr w14:val="tx1"/>
            </w14:solidFill>
          </w14:textFill>
        </w:rPr>
        <w:t>响</w:t>
      </w:r>
      <w:r>
        <w:rPr>
          <w:rFonts w:hint="eastAsia"/>
        </w:rPr>
        <w:t>应，并清晰描述各点的响应情况，并填写下表</w:t>
      </w:r>
      <w:r>
        <w:rPr>
          <w:rFonts w:hint="eastAsia"/>
          <w:b/>
          <w:color w:val="000000" w:themeColor="text1"/>
          <w14:textFill>
            <w14:solidFill>
              <w14:schemeClr w14:val="tx1"/>
            </w14:solidFill>
          </w14:textFill>
        </w:rPr>
        <w:t>，未在响应表中列出的偏离，视同完全响应、无偏离。</w:t>
      </w:r>
    </w:p>
    <w:p>
      <w:pPr>
        <w:spacing w:line="360" w:lineRule="auto"/>
        <w:ind w:firstLine="420" w:firstLineChars="200"/>
        <w:jc w:val="center"/>
      </w:pPr>
      <w:r>
        <w:rPr>
          <w:rFonts w:hint="eastAsia"/>
          <w:b/>
          <w:color w:val="000000" w:themeColor="text1"/>
          <w14:textFill>
            <w14:solidFill>
              <w14:schemeClr w14:val="tx1"/>
            </w14:solidFill>
          </w14:textFill>
        </w:rPr>
        <w:t>技术响应差异表</w:t>
      </w:r>
    </w:p>
    <w:tbl>
      <w:tblPr>
        <w:tblStyle w:val="74"/>
        <w:tblW w:w="10521" w:type="dxa"/>
        <w:jc w:val="center"/>
        <w:tblInd w:w="0" w:type="dxa"/>
        <w:tblLayout w:type="fixed"/>
        <w:tblCellMar>
          <w:top w:w="0" w:type="dxa"/>
          <w:left w:w="108" w:type="dxa"/>
          <w:bottom w:w="0" w:type="dxa"/>
          <w:right w:w="108" w:type="dxa"/>
        </w:tblCellMar>
      </w:tblPr>
      <w:tblGrid>
        <w:gridCol w:w="992"/>
        <w:gridCol w:w="1418"/>
        <w:gridCol w:w="2974"/>
        <w:gridCol w:w="849"/>
        <w:gridCol w:w="1559"/>
        <w:gridCol w:w="1266"/>
        <w:gridCol w:w="1463"/>
      </w:tblGrid>
      <w:tr>
        <w:tblPrEx>
          <w:tblLayout w:type="fixed"/>
        </w:tblPrEx>
        <w:trPr>
          <w:trHeight w:val="396" w:hRule="atLeast"/>
          <w:jc w:val="center"/>
        </w:trPr>
        <w:tc>
          <w:tcPr>
            <w:tcW w:w="992" w:type="dxa"/>
            <w:vMerge w:val="restart"/>
            <w:tcBorders>
              <w:top w:val="single" w:color="auto" w:sz="4" w:space="0"/>
              <w:left w:val="single" w:color="auto" w:sz="4" w:space="0"/>
              <w:right w:val="single" w:color="auto" w:sz="4" w:space="0"/>
            </w:tcBorders>
            <w:shd w:val="clear" w:color="auto" w:fill="auto"/>
            <w:vAlign w:val="center"/>
          </w:tcPr>
          <w:p>
            <w:pPr>
              <w:rPr>
                <w:rFonts w:ascii="Calibri" w:hAnsi="Calibri" w:cs="Calibri"/>
                <w:szCs w:val="22"/>
              </w:rPr>
            </w:pPr>
          </w:p>
        </w:tc>
        <w:tc>
          <w:tcPr>
            <w:tcW w:w="4392"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000000"/>
                <w:highlight w:val="yellow"/>
              </w:rPr>
            </w:pPr>
            <w:r>
              <w:rPr>
                <w:rFonts w:hint="eastAsia" w:ascii="宋体" w:hAnsi="宋体" w:cs="宋体"/>
                <w:color w:val="000000"/>
              </w:rPr>
              <w:t>采购文件</w:t>
            </w:r>
          </w:p>
        </w:tc>
        <w:tc>
          <w:tcPr>
            <w:tcW w:w="5137" w:type="dxa"/>
            <w:gridSpan w:val="4"/>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bCs/>
                <w:szCs w:val="21"/>
              </w:rPr>
              <w:t>响应文件</w:t>
            </w:r>
          </w:p>
        </w:tc>
      </w:tr>
      <w:tr>
        <w:tblPrEx>
          <w:tblLayout w:type="fixed"/>
        </w:tblPrEx>
        <w:trPr>
          <w:trHeight w:val="681" w:hRule="atLeast"/>
          <w:jc w:val="center"/>
        </w:trPr>
        <w:tc>
          <w:tcPr>
            <w:tcW w:w="992"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用户需求书条款号</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用户需求书内容概括</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bCs/>
                <w:szCs w:val="21"/>
              </w:rPr>
              <w:t>是否响应</w:t>
            </w: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Cs/>
                <w:szCs w:val="21"/>
              </w:rPr>
            </w:pPr>
            <w:r>
              <w:rPr>
                <w:rFonts w:hint="eastAsia"/>
                <w:bCs/>
                <w:szCs w:val="21"/>
              </w:rPr>
              <w:t>偏离说明</w:t>
            </w:r>
          </w:p>
        </w:tc>
        <w:tc>
          <w:tcPr>
            <w:tcW w:w="1463" w:type="dxa"/>
            <w:tcBorders>
              <w:top w:val="single" w:color="auto" w:sz="4" w:space="0"/>
              <w:left w:val="nil"/>
              <w:bottom w:val="single" w:color="auto" w:sz="4" w:space="0"/>
              <w:right w:val="single" w:color="auto" w:sz="4" w:space="0"/>
            </w:tcBorders>
            <w:vAlign w:val="center"/>
          </w:tcPr>
          <w:p>
            <w:pPr>
              <w:spacing w:line="360" w:lineRule="auto"/>
              <w:jc w:val="center"/>
              <w:rPr>
                <w:bCs/>
                <w:szCs w:val="21"/>
              </w:rPr>
            </w:pPr>
            <w:r>
              <w:rPr>
                <w:rFonts w:hint="eastAsia"/>
                <w:bCs/>
                <w:szCs w:val="21"/>
              </w:rPr>
              <w:t>响应文件页码</w:t>
            </w:r>
          </w:p>
        </w:tc>
      </w:tr>
      <w:tr>
        <w:tblPrEx>
          <w:tblLayout w:type="fixed"/>
        </w:tblPrEx>
        <w:trPr>
          <w:jc w:val="center"/>
        </w:trPr>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用户需求书</w:t>
            </w:r>
          </w:p>
        </w:tc>
        <w:tc>
          <w:tcPr>
            <w:tcW w:w="1418" w:type="dxa"/>
            <w:tcBorders>
              <w:top w:val="single" w:color="auto" w:sz="4" w:space="0"/>
              <w:left w:val="nil"/>
              <w:bottom w:val="single" w:color="auto" w:sz="4" w:space="0"/>
              <w:right w:val="single" w:color="auto" w:sz="4" w:space="0"/>
            </w:tcBorders>
            <w:shd w:val="clear" w:color="auto" w:fill="auto"/>
          </w:tcPr>
          <w:p>
            <w:r>
              <w:rPr>
                <w:rFonts w:hint="eastAsia" w:cs="宋体"/>
                <w:szCs w:val="21"/>
              </w:rPr>
              <w:t>一</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Theme="minorEastAsia" w:hAnsiTheme="minorEastAsia" w:eastAsiaTheme="minorEastAsia"/>
                <w:szCs w:val="21"/>
              </w:rPr>
              <w:t>项目背景</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r>
              <w:rPr>
                <w:rFonts w:hint="eastAsia" w:cs="宋体"/>
                <w:szCs w:val="21"/>
              </w:rPr>
              <w:t>二</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采购内容</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r>
              <w:rPr>
                <w:rFonts w:hint="eastAsia" w:cs="宋体"/>
                <w:szCs w:val="21"/>
              </w:rPr>
              <w:t>三</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项目要求</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r>
              <w:rPr>
                <w:rFonts w:hint="eastAsia" w:ascii="宋体" w:hAnsi="宋体" w:cs="宋体"/>
                <w:color w:val="000000"/>
                <w:szCs w:val="21"/>
              </w:rPr>
              <w:t>四</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r>
              <w:rPr>
                <w:rFonts w:hint="eastAsia" w:ascii="宋体" w:hAnsi="宋体" w:cs="宋体"/>
                <w:color w:val="000000"/>
                <w:szCs w:val="21"/>
              </w:rPr>
              <w:t>项目团队人员要求</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szCs w:val="21"/>
              </w:rPr>
            </w:pPr>
            <w:r>
              <w:rPr>
                <w:rFonts w:hint="eastAsia" w:ascii="宋体" w:hAnsi="宋体" w:cs="宋体"/>
                <w:color w:val="000000"/>
                <w:szCs w:val="21"/>
              </w:rPr>
              <w:t>五</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项目策划方案</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szCs w:val="21"/>
              </w:rPr>
            </w:pPr>
            <w:r>
              <w:rPr>
                <w:rFonts w:hint="eastAsia" w:ascii="宋体" w:hAnsi="宋体" w:cs="宋体"/>
                <w:color w:val="000000"/>
                <w:szCs w:val="21"/>
              </w:rPr>
              <w:t>六</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考核验收要求</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szCs w:val="21"/>
              </w:rPr>
            </w:pPr>
            <w:r>
              <w:rPr>
                <w:rFonts w:hint="eastAsia" w:ascii="宋体" w:hAnsi="宋体" w:cs="宋体"/>
                <w:color w:val="000000"/>
                <w:szCs w:val="21"/>
              </w:rPr>
              <w:t>七</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其他</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r>
        <w:tblPrEx>
          <w:tblLayout w:type="fixed"/>
        </w:tblPrEx>
        <w:trPr>
          <w:jc w:val="center"/>
        </w:trPr>
        <w:tc>
          <w:tcPr>
            <w:tcW w:w="99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1418"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szCs w:val="21"/>
              </w:rPr>
            </w:pPr>
            <w:r>
              <w:rPr>
                <w:rFonts w:hint="eastAsia" w:ascii="宋体" w:hAnsi="宋体" w:cs="宋体"/>
                <w:color w:val="000000"/>
                <w:szCs w:val="21"/>
              </w:rPr>
              <w:t>附件</w:t>
            </w:r>
          </w:p>
        </w:tc>
        <w:tc>
          <w:tcPr>
            <w:tcW w:w="297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szCs w:val="21"/>
              </w:rPr>
            </w:pPr>
            <w:r>
              <w:rPr>
                <w:rFonts w:hint="eastAsia" w:ascii="宋体" w:hAnsi="宋体" w:cs="宋体"/>
                <w:color w:val="000000"/>
                <w:szCs w:val="21"/>
              </w:rPr>
              <w:t>总分行自媒体列表范围</w:t>
            </w:r>
          </w:p>
        </w:tc>
        <w:tc>
          <w:tcPr>
            <w:tcW w:w="8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000000"/>
              </w:rPr>
            </w:pPr>
          </w:p>
        </w:tc>
        <w:tc>
          <w:tcPr>
            <w:tcW w:w="1463" w:type="dxa"/>
            <w:tcBorders>
              <w:top w:val="single" w:color="auto" w:sz="4" w:space="0"/>
              <w:left w:val="nil"/>
              <w:bottom w:val="single" w:color="auto" w:sz="4" w:space="0"/>
              <w:right w:val="single" w:color="auto" w:sz="4" w:space="0"/>
            </w:tcBorders>
          </w:tcPr>
          <w:p>
            <w:pPr>
              <w:spacing w:line="360" w:lineRule="auto"/>
              <w:jc w:val="left"/>
              <w:rPr>
                <w:rFonts w:ascii="宋体" w:hAnsi="宋体" w:cs="宋体"/>
                <w:color w:val="000000"/>
              </w:rPr>
            </w:pPr>
          </w:p>
        </w:tc>
      </w:tr>
    </w:tbl>
    <w:p>
      <w:pPr>
        <w:spacing w:line="360" w:lineRule="auto"/>
        <w:ind w:firstLine="424" w:firstLineChars="202"/>
        <w:rPr>
          <w:szCs w:val="21"/>
        </w:rPr>
      </w:pPr>
      <w:r>
        <w:rPr>
          <w:rFonts w:hint="eastAsia"/>
          <w:szCs w:val="21"/>
        </w:rPr>
        <w:t>注：</w:t>
      </w:r>
    </w:p>
    <w:p>
      <w:pPr>
        <w:spacing w:line="360" w:lineRule="auto"/>
        <w:ind w:firstLine="420" w:firstLineChars="200"/>
        <w:rPr>
          <w:szCs w:val="21"/>
        </w:rPr>
      </w:pPr>
      <w:r>
        <w:rPr>
          <w:szCs w:val="21"/>
        </w:rPr>
        <w:t>1.</w:t>
      </w:r>
      <w:r>
        <w:rPr>
          <w:rFonts w:hint="eastAsia"/>
          <w:szCs w:val="21"/>
        </w:rPr>
        <w:t>供应商必须对应磋商文件“用户需求书”的内容逐条响应。</w:t>
      </w:r>
    </w:p>
    <w:p>
      <w:pPr>
        <w:spacing w:line="360" w:lineRule="auto"/>
        <w:ind w:firstLine="420" w:firstLineChars="200"/>
        <w:rPr>
          <w:szCs w:val="21"/>
        </w:rPr>
      </w:pPr>
      <w:r>
        <w:rPr>
          <w:szCs w:val="21"/>
        </w:rPr>
        <w:t>2.</w:t>
      </w:r>
      <w:r>
        <w:rPr>
          <w:rFonts w:hint="eastAsia"/>
          <w:szCs w:val="21"/>
        </w:rPr>
        <w:t>供应商响应采购</w:t>
      </w:r>
      <w:r>
        <w:rPr>
          <w:rFonts w:hint="eastAsia"/>
        </w:rPr>
        <w:t>需求</w:t>
      </w:r>
      <w:r>
        <w:rPr>
          <w:rFonts w:hint="eastAsia"/>
          <w:szCs w:val="21"/>
        </w:rPr>
        <w:t>应具体、明确，含糊不清、不确切或伪造、变造证明材料的，按照不完全响应或者完全不响应处理。构成提供虚假材料的，磋商保证金不予退还。</w:t>
      </w:r>
    </w:p>
    <w:p>
      <w:pPr>
        <w:adjustRightInd w:val="0"/>
        <w:snapToGrid w:val="0"/>
        <w:spacing w:line="300" w:lineRule="auto"/>
        <w:rPr>
          <w:rFonts w:asciiTheme="minorEastAsia" w:hAnsiTheme="minorEastAsia" w:eastAsiaTheme="minorEastAsia"/>
          <w:b/>
          <w:szCs w:val="21"/>
        </w:rPr>
      </w:pPr>
    </w:p>
    <w:p>
      <w:pPr>
        <w:adjustRightInd w:val="0"/>
        <w:snapToGrid w:val="0"/>
        <w:spacing w:line="300" w:lineRule="auto"/>
        <w:rPr>
          <w:rFonts w:cs="宋体" w:asciiTheme="minorEastAsia" w:hAnsiTheme="minorEastAsia" w:eastAsiaTheme="minorEastAsia"/>
          <w:b/>
          <w:szCs w:val="18"/>
          <w:lang w:val="zh-CN"/>
        </w:rPr>
      </w:pPr>
      <w:r>
        <w:rPr>
          <w:rFonts w:hint="eastAsia" w:asciiTheme="minorEastAsia" w:hAnsiTheme="minorEastAsia" w:eastAsiaTheme="minorEastAsia"/>
          <w:b/>
          <w:szCs w:val="21"/>
        </w:rPr>
        <w:t>（二）★</w:t>
      </w:r>
      <w:r>
        <w:rPr>
          <w:rFonts w:hint="eastAsia" w:cs="宋体" w:asciiTheme="minorEastAsia" w:hAnsiTheme="minorEastAsia" w:eastAsiaTheme="minorEastAsia"/>
          <w:b/>
          <w:szCs w:val="18"/>
          <w:lang w:val="zh-CN"/>
        </w:rPr>
        <w:t>条款响应表</w:t>
      </w:r>
    </w:p>
    <w:p>
      <w:pPr>
        <w:widowControl/>
        <w:adjustRightInd w:val="0"/>
        <w:snapToGrid w:val="0"/>
        <w:spacing w:line="300" w:lineRule="auto"/>
        <w:rPr>
          <w:b/>
          <w:szCs w:val="21"/>
        </w:rPr>
      </w:pPr>
      <w:r>
        <w:rPr>
          <w:rFonts w:hint="eastAsia"/>
          <w:b/>
          <w:szCs w:val="21"/>
        </w:rPr>
        <w:t>注：（此表内容仅供参考，若有错漏以用户需求书中的“★”条款要求为准，供应商应自行补充完整，根据用户需求书中的“★”条款要求填写。）</w:t>
      </w:r>
    </w:p>
    <w:p>
      <w:pPr>
        <w:widowControl/>
        <w:autoSpaceDE w:val="0"/>
        <w:autoSpaceDN w:val="0"/>
        <w:adjustRightInd w:val="0"/>
        <w:ind w:firstLine="521" w:firstLineChars="248"/>
        <w:jc w:val="center"/>
        <w:rPr>
          <w:rFonts w:ascii="宋体" w:hAnsi="宋体" w:cs="宋体"/>
          <w:b/>
          <w:szCs w:val="21"/>
          <w:lang w:val="zh-CN"/>
        </w:rPr>
      </w:pPr>
      <w:r>
        <w:rPr>
          <w:rFonts w:hint="eastAsia" w:ascii="宋体" w:hAnsi="宋体"/>
          <w:b/>
          <w:szCs w:val="21"/>
        </w:rPr>
        <w:t>★</w:t>
      </w:r>
      <w:r>
        <w:rPr>
          <w:rFonts w:hint="eastAsia" w:ascii="宋体" w:hAnsi="宋体" w:cs="宋体"/>
          <w:b/>
          <w:szCs w:val="21"/>
          <w:lang w:val="zh-CN"/>
        </w:rPr>
        <w:t>条款响应一览表</w:t>
      </w:r>
    </w:p>
    <w:tbl>
      <w:tblPr>
        <w:tblStyle w:val="74"/>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69"/>
        <w:gridCol w:w="3884"/>
        <w:gridCol w:w="1701"/>
        <w:gridCol w:w="1077"/>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683" w:type="dxa"/>
            <w:vAlign w:val="center"/>
          </w:tcPr>
          <w:p>
            <w:pPr>
              <w:widowControl/>
              <w:autoSpaceDE w:val="0"/>
              <w:autoSpaceDN w:val="0"/>
              <w:adjustRightInd w:val="0"/>
              <w:jc w:val="center"/>
              <w:rPr>
                <w:rFonts w:ascii="宋体" w:hAnsi="宋体" w:cs="宋体"/>
                <w:b/>
                <w:bCs/>
                <w:szCs w:val="21"/>
                <w:lang w:val="zh-CN"/>
              </w:rPr>
            </w:pPr>
            <w:r>
              <w:rPr>
                <w:rFonts w:hint="eastAsia" w:ascii="宋体" w:hAnsi="宋体" w:cs="宋体"/>
                <w:b/>
                <w:bCs/>
                <w:szCs w:val="21"/>
                <w:lang w:val="zh-CN"/>
              </w:rPr>
              <w:t>序号</w:t>
            </w:r>
          </w:p>
        </w:tc>
        <w:tc>
          <w:tcPr>
            <w:tcW w:w="5453" w:type="dxa"/>
            <w:gridSpan w:val="2"/>
            <w:vAlign w:val="center"/>
          </w:tcPr>
          <w:p>
            <w:pPr>
              <w:widowControl/>
              <w:autoSpaceDE w:val="0"/>
              <w:autoSpaceDN w:val="0"/>
              <w:adjustRightInd w:val="0"/>
              <w:jc w:val="center"/>
              <w:rPr>
                <w:rFonts w:ascii="宋体" w:hAnsi="宋体" w:cs="宋体"/>
                <w:b/>
                <w:bCs/>
                <w:szCs w:val="21"/>
                <w:lang w:val="zh-CN"/>
              </w:rPr>
            </w:pPr>
            <w:r>
              <w:rPr>
                <w:rFonts w:hint="eastAsia" w:ascii="宋体" w:hAnsi="宋体" w:cs="宋体"/>
                <w:b/>
                <w:bCs/>
                <w:szCs w:val="21"/>
                <w:lang w:val="zh-CN"/>
              </w:rPr>
              <w:t>用户需求书★条款要求</w:t>
            </w:r>
          </w:p>
        </w:tc>
        <w:tc>
          <w:tcPr>
            <w:tcW w:w="1701" w:type="dxa"/>
            <w:vAlign w:val="center"/>
          </w:tcPr>
          <w:p>
            <w:pPr>
              <w:widowControl/>
              <w:jc w:val="center"/>
              <w:rPr>
                <w:rFonts w:ascii="宋体" w:hAnsi="宋体" w:cs="宋体"/>
                <w:b/>
                <w:bCs/>
                <w:szCs w:val="21"/>
                <w:lang w:val="zh-CN"/>
              </w:rPr>
            </w:pPr>
            <w:r>
              <w:rPr>
                <w:rFonts w:hint="eastAsia" w:ascii="宋体" w:hAnsi="宋体"/>
                <w:b/>
                <w:bCs/>
                <w:szCs w:val="21"/>
              </w:rPr>
              <w:t>是否响应</w:t>
            </w:r>
          </w:p>
        </w:tc>
        <w:tc>
          <w:tcPr>
            <w:tcW w:w="1077" w:type="dxa"/>
          </w:tcPr>
          <w:p>
            <w:pPr>
              <w:widowControl/>
              <w:jc w:val="center"/>
              <w:rPr>
                <w:rFonts w:ascii="宋体" w:hAnsi="宋体"/>
                <w:b/>
                <w:bCs/>
                <w:szCs w:val="21"/>
              </w:rPr>
            </w:pPr>
            <w:r>
              <w:rPr>
                <w:rFonts w:hint="eastAsia" w:ascii="宋体" w:hAnsi="宋体"/>
                <w:b/>
                <w:bCs/>
                <w:szCs w:val="21"/>
              </w:rPr>
              <w:t>偏离说明</w:t>
            </w:r>
          </w:p>
        </w:tc>
        <w:tc>
          <w:tcPr>
            <w:tcW w:w="1146" w:type="dxa"/>
            <w:vAlign w:val="center"/>
          </w:tcPr>
          <w:p>
            <w:pPr>
              <w:widowControl/>
              <w:jc w:val="center"/>
              <w:rPr>
                <w:rFonts w:ascii="宋体" w:hAnsi="宋体" w:cs="宋体"/>
                <w:b/>
                <w:bCs/>
                <w:szCs w:val="21"/>
                <w:lang w:val="zh-CN"/>
              </w:rPr>
            </w:pPr>
            <w:r>
              <w:rPr>
                <w:rFonts w:hint="eastAsia" w:ascii="宋体" w:hAnsi="宋体"/>
                <w:b/>
                <w:bCs/>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683" w:type="dxa"/>
            <w:vAlign w:val="center"/>
          </w:tcPr>
          <w:p>
            <w:pPr>
              <w:widowControl/>
              <w:jc w:val="center"/>
              <w:rPr>
                <w:rFonts w:ascii="宋体" w:hAnsi="宋体" w:cs="宋体"/>
                <w:b/>
                <w:szCs w:val="21"/>
              </w:rPr>
            </w:pPr>
            <w:r>
              <w:rPr>
                <w:rFonts w:hint="eastAsia" w:ascii="宋体" w:hAnsi="宋体"/>
                <w:szCs w:val="21"/>
              </w:rPr>
              <w:t>1</w:t>
            </w:r>
          </w:p>
        </w:tc>
        <w:tc>
          <w:tcPr>
            <w:tcW w:w="1569" w:type="dxa"/>
            <w:vAlign w:val="center"/>
          </w:tcPr>
          <w:p>
            <w:pPr>
              <w:widowControl/>
              <w:jc w:val="left"/>
              <w:rPr>
                <w:rFonts w:ascii="宋体" w:hAnsi="宋体"/>
                <w:bCs/>
                <w:szCs w:val="21"/>
              </w:rPr>
            </w:pPr>
            <w:r>
              <w:rPr>
                <w:rFonts w:hint="eastAsia" w:ascii="宋体" w:hAnsi="宋体"/>
                <w:bCs/>
                <w:szCs w:val="21"/>
              </w:rPr>
              <w:t>4.2</w:t>
            </w:r>
          </w:p>
        </w:tc>
        <w:tc>
          <w:tcPr>
            <w:tcW w:w="3884" w:type="dxa"/>
            <w:vAlign w:val="center"/>
          </w:tcPr>
          <w:p>
            <w:pPr>
              <w:widowControl/>
              <w:jc w:val="left"/>
              <w:rPr>
                <w:rFonts w:ascii="宋体" w:hAnsi="宋体"/>
                <w:bCs/>
                <w:szCs w:val="21"/>
                <w:highlight w:val="yellow"/>
              </w:rPr>
            </w:pPr>
            <w:r>
              <w:rPr>
                <w:rFonts w:hint="eastAsia" w:ascii="宋体" w:hAnsi="宋体"/>
                <w:bCs/>
                <w:szCs w:val="21"/>
              </w:rPr>
              <w:t>竞争对手服务限制</w:t>
            </w:r>
          </w:p>
        </w:tc>
        <w:tc>
          <w:tcPr>
            <w:tcW w:w="1701" w:type="dxa"/>
            <w:vAlign w:val="center"/>
          </w:tcPr>
          <w:p>
            <w:pPr>
              <w:widowControl/>
              <w:jc w:val="center"/>
              <w:rPr>
                <w:rFonts w:ascii="宋体" w:hAnsi="宋体"/>
                <w:b/>
                <w:bCs/>
                <w:szCs w:val="21"/>
              </w:rPr>
            </w:pPr>
          </w:p>
        </w:tc>
        <w:tc>
          <w:tcPr>
            <w:tcW w:w="1077" w:type="dxa"/>
          </w:tcPr>
          <w:p>
            <w:pPr>
              <w:widowControl/>
              <w:jc w:val="center"/>
              <w:rPr>
                <w:rFonts w:ascii="宋体" w:hAnsi="宋体"/>
                <w:b/>
                <w:bCs/>
                <w:szCs w:val="21"/>
              </w:rPr>
            </w:pPr>
          </w:p>
        </w:tc>
        <w:tc>
          <w:tcPr>
            <w:tcW w:w="1146" w:type="dxa"/>
            <w:vAlign w:val="center"/>
          </w:tcPr>
          <w:p>
            <w:pPr>
              <w:widowControl/>
              <w:jc w:val="center"/>
              <w:rPr>
                <w:rFonts w:ascii="宋体" w:hAnsi="宋体"/>
                <w:bCs/>
                <w:szCs w:val="21"/>
              </w:rPr>
            </w:pPr>
            <w:r>
              <w:rPr>
                <w:rFonts w:hint="eastAsia" w:ascii="宋体" w:hAnsi="宋体"/>
                <w:bCs/>
                <w:szCs w:val="21"/>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683" w:type="dxa"/>
            <w:vAlign w:val="center"/>
          </w:tcPr>
          <w:p>
            <w:pPr>
              <w:widowControl/>
              <w:jc w:val="center"/>
              <w:rPr>
                <w:rFonts w:ascii="宋体" w:hAnsi="宋体"/>
                <w:szCs w:val="21"/>
              </w:rPr>
            </w:pPr>
            <w:r>
              <w:rPr>
                <w:rFonts w:hint="eastAsia" w:ascii="宋体" w:hAnsi="宋体"/>
                <w:szCs w:val="21"/>
              </w:rPr>
              <w:t>2</w:t>
            </w:r>
          </w:p>
        </w:tc>
        <w:tc>
          <w:tcPr>
            <w:tcW w:w="1569" w:type="dxa"/>
            <w:vAlign w:val="center"/>
          </w:tcPr>
          <w:p>
            <w:pPr>
              <w:widowControl/>
              <w:jc w:val="left"/>
              <w:rPr>
                <w:rFonts w:ascii="宋体" w:hAnsi="宋体"/>
                <w:bCs/>
                <w:szCs w:val="21"/>
                <w:highlight w:val="yellow"/>
              </w:rPr>
            </w:pPr>
            <w:r>
              <w:rPr>
                <w:rFonts w:hint="eastAsia" w:ascii="宋体" w:hAnsi="宋体"/>
                <w:szCs w:val="21"/>
              </w:rPr>
              <w:t>5.1</w:t>
            </w:r>
          </w:p>
        </w:tc>
        <w:tc>
          <w:tcPr>
            <w:tcW w:w="3884" w:type="dxa"/>
            <w:vAlign w:val="center"/>
          </w:tcPr>
          <w:p>
            <w:pPr>
              <w:widowControl/>
              <w:jc w:val="left"/>
              <w:rPr>
                <w:rFonts w:ascii="宋体" w:hAnsi="宋体"/>
                <w:bCs/>
                <w:szCs w:val="21"/>
                <w:highlight w:val="yellow"/>
              </w:rPr>
            </w:pPr>
            <w:r>
              <w:rPr>
                <w:rFonts w:hint="eastAsia" w:ascii="宋体" w:hAnsi="宋体"/>
                <w:szCs w:val="21"/>
              </w:rPr>
              <w:t>舆情监测报告</w:t>
            </w:r>
          </w:p>
        </w:tc>
        <w:tc>
          <w:tcPr>
            <w:tcW w:w="1701" w:type="dxa"/>
            <w:vAlign w:val="center"/>
          </w:tcPr>
          <w:p>
            <w:pPr>
              <w:widowControl/>
              <w:jc w:val="center"/>
              <w:rPr>
                <w:rFonts w:ascii="宋体" w:hAnsi="宋体"/>
                <w:b/>
                <w:bCs/>
                <w:szCs w:val="21"/>
              </w:rPr>
            </w:pPr>
          </w:p>
        </w:tc>
        <w:tc>
          <w:tcPr>
            <w:tcW w:w="1077" w:type="dxa"/>
          </w:tcPr>
          <w:p>
            <w:pPr>
              <w:widowControl/>
              <w:jc w:val="center"/>
              <w:rPr>
                <w:rFonts w:ascii="宋体" w:hAnsi="宋体"/>
                <w:b/>
                <w:bCs/>
                <w:szCs w:val="21"/>
              </w:rPr>
            </w:pPr>
          </w:p>
        </w:tc>
        <w:tc>
          <w:tcPr>
            <w:tcW w:w="1146" w:type="dxa"/>
          </w:tcPr>
          <w:p>
            <w:pPr>
              <w:widowControl/>
              <w:jc w:val="center"/>
              <w:rPr>
                <w:rFonts w:ascii="宋体" w:hAnsi="宋体"/>
                <w:bCs/>
                <w:szCs w:val="21"/>
              </w:rPr>
            </w:pPr>
            <w:r>
              <w:rPr>
                <w:rFonts w:hint="eastAsia"/>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683" w:type="dxa"/>
            <w:vAlign w:val="center"/>
          </w:tcPr>
          <w:p>
            <w:pPr>
              <w:widowControl/>
              <w:jc w:val="center"/>
              <w:rPr>
                <w:rFonts w:ascii="宋体" w:hAnsi="宋体"/>
                <w:szCs w:val="21"/>
              </w:rPr>
            </w:pPr>
            <w:r>
              <w:rPr>
                <w:rFonts w:hint="eastAsia" w:ascii="宋体" w:hAnsi="宋体"/>
                <w:szCs w:val="21"/>
              </w:rPr>
              <w:t>3</w:t>
            </w:r>
          </w:p>
        </w:tc>
        <w:tc>
          <w:tcPr>
            <w:tcW w:w="1569" w:type="dxa"/>
            <w:vAlign w:val="center"/>
          </w:tcPr>
          <w:p>
            <w:pPr>
              <w:widowControl/>
              <w:jc w:val="left"/>
              <w:rPr>
                <w:rFonts w:ascii="宋体" w:hAnsi="宋体"/>
                <w:bCs/>
                <w:szCs w:val="21"/>
                <w:highlight w:val="yellow"/>
              </w:rPr>
            </w:pPr>
            <w:r>
              <w:rPr>
                <w:rFonts w:hint="eastAsia" w:ascii="宋体" w:hAnsi="宋体"/>
                <w:szCs w:val="21"/>
              </w:rPr>
              <w:t>5.2</w:t>
            </w:r>
          </w:p>
        </w:tc>
        <w:tc>
          <w:tcPr>
            <w:tcW w:w="3884" w:type="dxa"/>
            <w:vAlign w:val="center"/>
          </w:tcPr>
          <w:p>
            <w:pPr>
              <w:widowControl/>
              <w:jc w:val="left"/>
              <w:rPr>
                <w:rFonts w:ascii="宋体" w:hAnsi="宋体"/>
                <w:bCs/>
                <w:szCs w:val="21"/>
                <w:highlight w:val="yellow"/>
              </w:rPr>
            </w:pPr>
            <w:r>
              <w:rPr>
                <w:rFonts w:hint="eastAsia" w:ascii="宋体" w:hAnsi="宋体"/>
                <w:szCs w:val="21"/>
              </w:rPr>
              <w:t>舆情研判分析及同业舆情研判分析报告</w:t>
            </w:r>
          </w:p>
        </w:tc>
        <w:tc>
          <w:tcPr>
            <w:tcW w:w="1701" w:type="dxa"/>
            <w:vAlign w:val="center"/>
          </w:tcPr>
          <w:p>
            <w:pPr>
              <w:widowControl/>
              <w:jc w:val="center"/>
              <w:rPr>
                <w:rFonts w:ascii="宋体" w:hAnsi="宋体"/>
                <w:b/>
                <w:bCs/>
                <w:szCs w:val="21"/>
              </w:rPr>
            </w:pPr>
          </w:p>
        </w:tc>
        <w:tc>
          <w:tcPr>
            <w:tcW w:w="1077" w:type="dxa"/>
          </w:tcPr>
          <w:p>
            <w:pPr>
              <w:widowControl/>
              <w:jc w:val="center"/>
              <w:rPr>
                <w:rFonts w:ascii="宋体" w:hAnsi="宋体"/>
                <w:b/>
                <w:bCs/>
                <w:szCs w:val="21"/>
              </w:rPr>
            </w:pPr>
          </w:p>
        </w:tc>
        <w:tc>
          <w:tcPr>
            <w:tcW w:w="1146" w:type="dxa"/>
          </w:tcPr>
          <w:p>
            <w:pPr>
              <w:widowControl/>
              <w:jc w:val="center"/>
              <w:rPr>
                <w:rFonts w:ascii="宋体" w:hAnsi="宋体"/>
                <w:bCs/>
                <w:szCs w:val="21"/>
              </w:rPr>
            </w:pPr>
            <w:r>
              <w:rPr>
                <w:rFonts w:hint="eastAsia"/>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683" w:type="dxa"/>
            <w:vAlign w:val="center"/>
          </w:tcPr>
          <w:p>
            <w:pPr>
              <w:widowControl/>
              <w:jc w:val="center"/>
              <w:rPr>
                <w:rFonts w:ascii="宋体" w:hAnsi="宋体"/>
                <w:szCs w:val="21"/>
              </w:rPr>
            </w:pPr>
            <w:r>
              <w:rPr>
                <w:rFonts w:hint="eastAsia" w:ascii="宋体" w:hAnsi="宋体"/>
                <w:szCs w:val="21"/>
              </w:rPr>
              <w:t>4</w:t>
            </w:r>
          </w:p>
        </w:tc>
        <w:tc>
          <w:tcPr>
            <w:tcW w:w="1569" w:type="dxa"/>
            <w:vAlign w:val="center"/>
          </w:tcPr>
          <w:p>
            <w:pPr>
              <w:widowControl/>
              <w:jc w:val="left"/>
              <w:rPr>
                <w:rFonts w:ascii="宋体" w:hAnsi="宋体"/>
                <w:szCs w:val="21"/>
              </w:rPr>
            </w:pPr>
            <w:r>
              <w:rPr>
                <w:rFonts w:hint="eastAsia" w:ascii="宋体" w:hAnsi="宋体"/>
                <w:szCs w:val="21"/>
              </w:rPr>
              <w:t>7.3</w:t>
            </w:r>
          </w:p>
        </w:tc>
        <w:tc>
          <w:tcPr>
            <w:tcW w:w="3884" w:type="dxa"/>
            <w:vAlign w:val="center"/>
          </w:tcPr>
          <w:p>
            <w:pPr>
              <w:widowControl/>
              <w:jc w:val="left"/>
              <w:rPr>
                <w:rFonts w:ascii="宋体" w:hAnsi="宋体"/>
                <w:szCs w:val="21"/>
              </w:rPr>
            </w:pPr>
            <w:r>
              <w:rPr>
                <w:rFonts w:hint="eastAsia" w:ascii="宋体" w:hAnsi="宋体"/>
                <w:szCs w:val="21"/>
              </w:rPr>
              <w:t>业绩真实性要求</w:t>
            </w:r>
          </w:p>
        </w:tc>
        <w:tc>
          <w:tcPr>
            <w:tcW w:w="1701" w:type="dxa"/>
            <w:vAlign w:val="center"/>
          </w:tcPr>
          <w:p>
            <w:pPr>
              <w:widowControl/>
              <w:jc w:val="center"/>
              <w:rPr>
                <w:rFonts w:ascii="宋体" w:hAnsi="宋体"/>
                <w:b/>
                <w:bCs/>
                <w:szCs w:val="21"/>
              </w:rPr>
            </w:pPr>
          </w:p>
        </w:tc>
        <w:tc>
          <w:tcPr>
            <w:tcW w:w="1077" w:type="dxa"/>
          </w:tcPr>
          <w:p>
            <w:pPr>
              <w:widowControl/>
              <w:jc w:val="center"/>
              <w:rPr>
                <w:rFonts w:ascii="宋体" w:hAnsi="宋体"/>
                <w:b/>
                <w:bCs/>
                <w:szCs w:val="21"/>
              </w:rPr>
            </w:pPr>
          </w:p>
        </w:tc>
        <w:tc>
          <w:tcPr>
            <w:tcW w:w="1146" w:type="dxa"/>
          </w:tcPr>
          <w:p>
            <w:pPr>
              <w:widowControl/>
              <w:jc w:val="center"/>
              <w:rPr>
                <w:rFonts w:ascii="宋体" w:hAnsi="宋体"/>
                <w:bCs/>
                <w:szCs w:val="21"/>
              </w:rPr>
            </w:pPr>
            <w:r>
              <w:rPr>
                <w:rFonts w:hint="eastAsia"/>
              </w:rPr>
              <w:t>见响应文件（）页</w:t>
            </w:r>
          </w:p>
        </w:tc>
      </w:tr>
    </w:tbl>
    <w:p>
      <w:pPr>
        <w:widowControl/>
        <w:spacing w:line="276" w:lineRule="auto"/>
        <w:ind w:firstLine="420"/>
        <w:rPr>
          <w:rFonts w:ascii="宋体" w:hAnsi="宋体"/>
          <w:szCs w:val="21"/>
        </w:rPr>
      </w:pPr>
      <w:r>
        <w:rPr>
          <w:rFonts w:hint="eastAsia" w:ascii="宋体" w:hAnsi="宋体"/>
          <w:szCs w:val="21"/>
        </w:rPr>
        <w:t>注：1.</w:t>
      </w:r>
      <w:r>
        <w:rPr>
          <w:rFonts w:hint="eastAsia"/>
          <w:szCs w:val="21"/>
        </w:rPr>
        <w:t>如供应商完全响应，则请在“是否响应”栏内打“√”或留空白；打“×”视为偏离，请在“偏离说明”栏内扼要说明偏离情况。</w:t>
      </w:r>
      <w:r>
        <w:rPr>
          <w:rFonts w:hint="eastAsia" w:ascii="宋体" w:hAnsi="宋体"/>
          <w:szCs w:val="21"/>
        </w:rPr>
        <w:t>对于上述要求有</w:t>
      </w:r>
      <w:r>
        <w:rPr>
          <w:rFonts w:ascii="宋体" w:hAnsi="宋体"/>
          <w:szCs w:val="21"/>
        </w:rPr>
        <w:t>“★”</w:t>
      </w:r>
      <w:r>
        <w:rPr>
          <w:rFonts w:hint="eastAsia" w:ascii="宋体" w:hAnsi="宋体"/>
          <w:szCs w:val="21"/>
        </w:rPr>
        <w:t>的地方均为须实质响应条款，供应商若有一项带</w:t>
      </w:r>
      <w:r>
        <w:rPr>
          <w:rFonts w:ascii="宋体" w:hAnsi="宋体"/>
          <w:szCs w:val="21"/>
        </w:rPr>
        <w:t>“★”</w:t>
      </w:r>
      <w:r>
        <w:rPr>
          <w:rFonts w:hint="eastAsia" w:ascii="宋体" w:hAnsi="宋体"/>
          <w:szCs w:val="21"/>
        </w:rPr>
        <w:t>的指标未响应或不满足，将按无效报价处理。</w:t>
      </w:r>
    </w:p>
    <w:p>
      <w:pPr>
        <w:widowControl/>
        <w:spacing w:line="276" w:lineRule="auto"/>
        <w:ind w:firstLine="420"/>
        <w:rPr>
          <w:rFonts w:ascii="宋体" w:hAnsi="宋体"/>
          <w:szCs w:val="21"/>
        </w:rPr>
      </w:pPr>
      <w:r>
        <w:rPr>
          <w:rFonts w:hint="eastAsia" w:ascii="宋体" w:hAnsi="宋体"/>
          <w:szCs w:val="21"/>
        </w:rPr>
        <w:t xml:space="preserve">    2.此表内容必须与响应文件实施方案中所介绍的内容一致。</w:t>
      </w:r>
    </w:p>
    <w:p>
      <w:pPr>
        <w:widowControl/>
        <w:spacing w:line="276" w:lineRule="auto"/>
        <w:ind w:firstLine="420"/>
        <w:rPr>
          <w:rFonts w:ascii="宋体" w:hAnsi="宋体"/>
          <w:szCs w:val="21"/>
        </w:rPr>
      </w:pPr>
      <w:r>
        <w:rPr>
          <w:rFonts w:hint="eastAsia" w:ascii="宋体" w:hAnsi="宋体"/>
          <w:szCs w:val="21"/>
        </w:rPr>
        <w:t xml:space="preserve">    3.如上述有与用户需求书不一致的地方以用户需求书为准。</w:t>
      </w:r>
    </w:p>
    <w:p>
      <w:pPr>
        <w:widowControl/>
        <w:spacing w:line="276" w:lineRule="auto"/>
        <w:ind w:firstLine="420"/>
        <w:rPr>
          <w:rFonts w:ascii="宋体" w:hAnsi="宋体"/>
          <w:szCs w:val="21"/>
        </w:rPr>
      </w:pPr>
    </w:p>
    <w:p>
      <w:pPr>
        <w:widowControl/>
        <w:spacing w:line="276" w:lineRule="auto"/>
        <w:ind w:firstLine="420"/>
        <w:rPr>
          <w:rFonts w:ascii="宋体" w:hAnsi="宋体"/>
          <w:szCs w:val="21"/>
        </w:rPr>
      </w:pPr>
    </w:p>
    <w:p>
      <w:pPr>
        <w:widowControl/>
        <w:spacing w:line="276" w:lineRule="auto"/>
        <w:ind w:firstLine="420"/>
        <w:rPr>
          <w:rFonts w:ascii="宋体" w:hAnsi="宋体"/>
          <w:szCs w:val="21"/>
        </w:rPr>
      </w:pPr>
    </w:p>
    <w:p>
      <w:pPr>
        <w:widowControl/>
        <w:spacing w:line="276" w:lineRule="auto"/>
        <w:ind w:firstLine="420"/>
        <w:rPr>
          <w:rFonts w:ascii="宋体" w:hAnsi="宋体"/>
          <w:szCs w:val="21"/>
        </w:rPr>
      </w:pPr>
    </w:p>
    <w:p>
      <w:pPr>
        <w:pStyle w:val="771"/>
        <w:adjustRightInd w:val="0"/>
        <w:snapToGrid w:val="0"/>
        <w:spacing w:line="360" w:lineRule="auto"/>
        <w:jc w:val="right"/>
        <w:rPr>
          <w:szCs w:val="21"/>
        </w:rPr>
      </w:pPr>
      <w:r>
        <w:rPr>
          <w:rFonts w:hint="eastAsia"/>
          <w:szCs w:val="21"/>
        </w:rPr>
        <w:t>供应商法定代表人（或法定代表人授权代表）签字或盖章：</w:t>
      </w:r>
    </w:p>
    <w:p>
      <w:pPr>
        <w:pStyle w:val="771"/>
        <w:adjustRightInd w:val="0"/>
        <w:snapToGrid w:val="0"/>
        <w:spacing w:line="360" w:lineRule="auto"/>
        <w:jc w:val="right"/>
        <w:rPr>
          <w:szCs w:val="21"/>
          <w:u w:val="single"/>
        </w:rPr>
      </w:pPr>
      <w:r>
        <w:rPr>
          <w:rFonts w:hint="eastAsia"/>
          <w:szCs w:val="21"/>
        </w:rPr>
        <w:t>供应商名称（公章）：</w:t>
      </w:r>
    </w:p>
    <w:p>
      <w:pPr>
        <w:widowControl/>
        <w:spacing w:line="276" w:lineRule="auto"/>
        <w:ind w:firstLine="7245" w:firstLineChars="3450"/>
        <w:rPr>
          <w:rFonts w:ascii="宋体" w:hAnsi="宋体"/>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spacing w:line="276" w:lineRule="auto"/>
        <w:ind w:firstLine="420"/>
        <w:rPr>
          <w:rFonts w:ascii="宋体" w:hAnsi="宋体"/>
          <w:szCs w:val="21"/>
        </w:rPr>
      </w:pPr>
    </w:p>
    <w:p>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pPr>
        <w:spacing w:line="360" w:lineRule="auto"/>
        <w:rPr>
          <w:rFonts w:asciiTheme="minorEastAsia" w:hAnsiTheme="minorEastAsia" w:eastAsiaTheme="minorEastAsia"/>
          <w:b/>
        </w:rPr>
      </w:pPr>
      <w:r>
        <w:rPr>
          <w:rFonts w:hint="eastAsia" w:asciiTheme="minorEastAsia" w:hAnsiTheme="minorEastAsia" w:eastAsiaTheme="minorEastAsia"/>
          <w:b/>
        </w:rPr>
        <w:t>四、商务、合同、技术或服务响应方案</w:t>
      </w:r>
    </w:p>
    <w:p>
      <w:pPr>
        <w:spacing w:line="360" w:lineRule="auto"/>
        <w:ind w:firstLine="420" w:firstLineChars="200"/>
        <w:rPr>
          <w:rFonts w:ascii="宋体"/>
        </w:rPr>
      </w:pPr>
      <w:r>
        <w:rPr>
          <w:rFonts w:hint="eastAsia" w:ascii="宋体"/>
        </w:rPr>
        <w:t>（一）商务响应方案：对本文件的相关商务服务要求做出全面响应，制做详细的商务响应方案。</w:t>
      </w:r>
    </w:p>
    <w:p>
      <w:pPr>
        <w:spacing w:line="360" w:lineRule="auto"/>
        <w:ind w:firstLine="420" w:firstLineChars="200"/>
        <w:rPr>
          <w:rFonts w:ascii="宋体"/>
        </w:rPr>
      </w:pPr>
      <w:r>
        <w:rPr>
          <w:rFonts w:hint="eastAsia" w:ascii="宋体"/>
        </w:rPr>
        <w:t>（二）合同条款响应方案：对本文件第四部分“合同书格式”内容做出全面响应，制做详细的合同条款响应方案（格式及要求见后文第四点），该响应方案应逐项对应本文件第四部分“合同书格式”各点的要求作出逐条响应，并清晰描述各点的响应情况</w:t>
      </w:r>
    </w:p>
    <w:p>
      <w:pPr>
        <w:spacing w:line="360" w:lineRule="auto"/>
        <w:ind w:firstLine="525" w:firstLineChars="250"/>
        <w:rPr>
          <w:rFonts w:ascii="宋体"/>
        </w:rPr>
      </w:pPr>
      <w:r>
        <w:rPr>
          <w:rFonts w:hint="eastAsia" w:ascii="宋体"/>
        </w:rPr>
        <w:t>（三）技术/服务响应方案：对本文件第三部分“用户需求书”内容做出全面响应，制做详细的技术响应方案。该响应方案应逐项对应本文件第三部分“用户需求书”各点的要求作出逐条响应，并清晰描述各点的响应情况。</w:t>
      </w:r>
    </w:p>
    <w:p>
      <w:pPr>
        <w:spacing w:line="360" w:lineRule="auto"/>
        <w:ind w:firstLine="525" w:firstLineChars="250"/>
        <w:rPr>
          <w:rFonts w:ascii="宋体"/>
        </w:rPr>
      </w:pPr>
      <w:r>
        <w:rPr>
          <w:rFonts w:hint="eastAsia" w:ascii="宋体"/>
        </w:rPr>
        <w:t>（四）重点评审响应内容</w:t>
      </w:r>
    </w:p>
    <w:p>
      <w:pPr>
        <w:spacing w:line="360" w:lineRule="auto"/>
        <w:ind w:firstLine="525" w:firstLineChars="250"/>
        <w:rPr>
          <w:rFonts w:ascii="宋体"/>
        </w:rPr>
      </w:pPr>
      <w:r>
        <w:rPr>
          <w:rFonts w:hint="eastAsia" w:ascii="宋体"/>
        </w:rPr>
        <w:t>建议针对本项目评分标准表的内容，针对以下每点提供详尽的响应方案，重点响应内容（要求可详见用户需求书并参考评分标准）包括但不限于：</w:t>
      </w:r>
    </w:p>
    <w:p>
      <w:pPr>
        <w:spacing w:line="360" w:lineRule="auto"/>
        <w:ind w:firstLine="420" w:firstLineChars="200"/>
        <w:rPr>
          <w:rFonts w:cs="仿宋" w:asciiTheme="minorEastAsia" w:hAnsiTheme="minorEastAsia" w:eastAsiaTheme="minorEastAsia"/>
          <w:kern w:val="44"/>
          <w:szCs w:val="21"/>
        </w:rPr>
      </w:pPr>
      <w:r>
        <w:rPr>
          <w:rFonts w:hint="eastAsia" w:cs="仿宋" w:asciiTheme="minorEastAsia" w:hAnsiTheme="minorEastAsia" w:eastAsiaTheme="minorEastAsia"/>
          <w:kern w:val="44"/>
          <w:szCs w:val="21"/>
        </w:rPr>
        <w:t>1.过往典型案例；</w:t>
      </w:r>
    </w:p>
    <w:p>
      <w:pPr>
        <w:spacing w:line="360" w:lineRule="auto"/>
        <w:ind w:firstLine="420" w:firstLineChars="200"/>
        <w:rPr>
          <w:rFonts w:cs="仿宋" w:asciiTheme="minorEastAsia" w:hAnsiTheme="minorEastAsia" w:eastAsiaTheme="minorEastAsia"/>
          <w:kern w:val="44"/>
          <w:szCs w:val="21"/>
        </w:rPr>
      </w:pPr>
      <w:r>
        <w:rPr>
          <w:rFonts w:hint="eastAsia" w:cs="仿宋" w:asciiTheme="minorEastAsia" w:hAnsiTheme="minorEastAsia" w:eastAsiaTheme="minorEastAsia"/>
          <w:kern w:val="44"/>
          <w:szCs w:val="21"/>
        </w:rPr>
        <w:t>2.舆情监测报告（填写于项目团队人员情况表）；</w:t>
      </w:r>
    </w:p>
    <w:p>
      <w:pPr>
        <w:spacing w:line="360" w:lineRule="auto"/>
        <w:ind w:firstLine="420" w:firstLineChars="200"/>
        <w:rPr>
          <w:rFonts w:cs="仿宋" w:asciiTheme="minorEastAsia" w:hAnsiTheme="minorEastAsia" w:eastAsiaTheme="minorEastAsia"/>
          <w:kern w:val="44"/>
          <w:szCs w:val="21"/>
        </w:rPr>
      </w:pPr>
      <w:r>
        <w:rPr>
          <w:rFonts w:hint="eastAsia" w:cs="仿宋" w:asciiTheme="minorEastAsia" w:hAnsiTheme="minorEastAsia" w:eastAsiaTheme="minorEastAsia"/>
          <w:kern w:val="44"/>
          <w:szCs w:val="21"/>
        </w:rPr>
        <w:t>3.舆情研判分析及同业舆情研判分析报告；</w:t>
      </w:r>
    </w:p>
    <w:p>
      <w:pPr>
        <w:pStyle w:val="771"/>
        <w:spacing w:line="360" w:lineRule="auto"/>
        <w:ind w:firstLine="420" w:firstLineChars="200"/>
        <w:rPr>
          <w:rFonts w:cs="仿宋" w:asciiTheme="minorEastAsia" w:hAnsiTheme="minorEastAsia" w:eastAsiaTheme="minorEastAsia"/>
          <w:kern w:val="44"/>
          <w:szCs w:val="21"/>
        </w:rPr>
      </w:pPr>
      <w:r>
        <w:rPr>
          <w:rFonts w:hint="eastAsia" w:cs="仿宋" w:asciiTheme="minorEastAsia" w:hAnsiTheme="minorEastAsia" w:eastAsiaTheme="minorEastAsia"/>
          <w:kern w:val="44"/>
          <w:szCs w:val="21"/>
        </w:rPr>
        <w:t>4.舆情管理方式：重点从服务计划、质量控制措施、交流反馈和文档管理机制等方面阐述。</w:t>
      </w:r>
    </w:p>
    <w:p>
      <w:pPr>
        <w:pStyle w:val="771"/>
        <w:spacing w:line="360" w:lineRule="auto"/>
        <w:ind w:firstLine="420" w:firstLineChars="200"/>
        <w:rPr>
          <w:rFonts w:cs="仿宋" w:asciiTheme="minorEastAsia" w:hAnsiTheme="minorEastAsia" w:eastAsiaTheme="minorEastAsia"/>
          <w:kern w:val="44"/>
          <w:szCs w:val="21"/>
        </w:rPr>
      </w:pPr>
      <w:r>
        <w:rPr>
          <w:rFonts w:hint="eastAsia" w:cs="仿宋" w:asciiTheme="minorEastAsia" w:hAnsiTheme="minorEastAsia" w:eastAsiaTheme="minorEastAsia"/>
          <w:kern w:val="44"/>
          <w:szCs w:val="21"/>
        </w:rPr>
        <w:t>5.更优增值服务或合理化建议。</w:t>
      </w:r>
    </w:p>
    <w:p>
      <w:pPr>
        <w:pStyle w:val="771"/>
        <w:spacing w:line="360" w:lineRule="auto"/>
        <w:ind w:firstLine="420" w:firstLineChars="200"/>
        <w:rPr>
          <w:szCs w:val="21"/>
        </w:rPr>
      </w:pPr>
      <w:r>
        <w:rPr>
          <w:rFonts w:hint="eastAsia" w:cs="仿宋" w:asciiTheme="minorEastAsia" w:hAnsiTheme="minorEastAsia" w:eastAsiaTheme="minorEastAsia"/>
          <w:kern w:val="44"/>
          <w:szCs w:val="21"/>
        </w:rPr>
        <w:t>注：上述内容应纳入采购文件作为其中的一部分；同时建议制作PPT或PDF供磋商现场陈述。</w:t>
      </w:r>
    </w:p>
    <w:p>
      <w:pPr>
        <w:rPr>
          <w:b/>
          <w:color w:val="000000" w:themeColor="text1"/>
          <w14:textFill>
            <w14:solidFill>
              <w14:schemeClr w14:val="tx1"/>
            </w14:solidFill>
          </w14:textFill>
        </w:rPr>
      </w:pPr>
    </w:p>
    <w:p>
      <w:pPr>
        <w:rPr>
          <w:b/>
        </w:rPr>
      </w:pPr>
    </w:p>
    <w:p>
      <w:pPr>
        <w:rPr>
          <w:rFonts w:ascii="宋体" w:hAnsi="宋体"/>
          <w:b/>
          <w:color w:val="FF0000"/>
        </w:rPr>
      </w:pPr>
    </w:p>
    <w:p>
      <w:pPr>
        <w:jc w:val="center"/>
        <w:outlineLvl w:val="1"/>
        <w:rPr>
          <w:rFonts w:ascii="宋体" w:hAnsi="宋体"/>
          <w:b/>
        </w:rPr>
      </w:pPr>
      <w:r>
        <w:rPr>
          <w:rFonts w:ascii="宋体" w:hAnsi="宋体"/>
        </w:rPr>
        <w:br w:type="page"/>
      </w:r>
      <w:bookmarkStart w:id="121" w:name="_Toc507608772"/>
      <w:r>
        <w:rPr>
          <w:rFonts w:hint="eastAsia" w:ascii="宋体" w:hAnsi="宋体"/>
          <w:b/>
        </w:rPr>
        <w:t>第三章 报价文件</w:t>
      </w:r>
      <w:bookmarkEnd w:id="121"/>
    </w:p>
    <w:p>
      <w:pPr>
        <w:widowControl/>
        <w:jc w:val="left"/>
        <w:rPr>
          <w:b/>
        </w:rPr>
      </w:pPr>
    </w:p>
    <w:p>
      <w:pPr>
        <w:widowControl/>
        <w:jc w:val="left"/>
        <w:rPr>
          <w:color w:val="C00000"/>
        </w:rPr>
      </w:pPr>
      <w:r>
        <w:rPr>
          <w:rFonts w:hint="eastAsia"/>
          <w:b/>
        </w:rPr>
        <w:t>一、报价</w:t>
      </w:r>
      <w:r>
        <w:rPr>
          <w:rFonts w:hint="eastAsia" w:hAnsi="宋体"/>
          <w:b/>
        </w:rPr>
        <w:t>一览表</w:t>
      </w:r>
      <w:r>
        <w:rPr>
          <w:rFonts w:hint="eastAsia"/>
          <w:b/>
        </w:rPr>
        <w:t>格式</w:t>
      </w:r>
    </w:p>
    <w:tbl>
      <w:tblPr>
        <w:tblStyle w:val="74"/>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632"/>
        <w:gridCol w:w="1134"/>
        <w:gridCol w:w="1418"/>
        <w:gridCol w:w="709"/>
        <w:gridCol w:w="1134"/>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94" w:hRule="atLeast"/>
          <w:jc w:val="center"/>
        </w:trPr>
        <w:tc>
          <w:tcPr>
            <w:tcW w:w="749"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32"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报价内容</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服务时长</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（月）</w:t>
            </w:r>
          </w:p>
        </w:tc>
        <w:tc>
          <w:tcPr>
            <w:tcW w:w="141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不含税单价</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（元/月）</w:t>
            </w:r>
          </w:p>
        </w:tc>
        <w:tc>
          <w:tcPr>
            <w:tcW w:w="70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增值税率</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含税单价（元/月）</w:t>
            </w:r>
          </w:p>
        </w:tc>
        <w:tc>
          <w:tcPr>
            <w:tcW w:w="10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年度含税合计（元）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6" w:hRule="atLeast"/>
          <w:jc w:val="center"/>
        </w:trPr>
        <w:tc>
          <w:tcPr>
            <w:tcW w:w="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632"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监测内容和范围：覆盖全辖媒体的针对广发银行、银行同业、监管部门的舆情监测（备注：包括平面新闻媒体、网络新闻媒体、广播电视媒体和自媒体、新闻和门户类APP等媒体平台）</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shd w:val="clear" w:color="auto" w:fill="auto"/>
            <w:vAlign w:val="center"/>
          </w:tcPr>
          <w:p>
            <w:pPr>
              <w:widowControl/>
              <w:jc w:val="center"/>
              <w:rPr>
                <w:rFonts w:ascii="宋体" w:hAnsi="宋体" w:cs="宋体"/>
                <w:color w:val="000000"/>
                <w:kern w:val="0"/>
                <w:szCs w:val="21"/>
              </w:rPr>
            </w:pPr>
          </w:p>
        </w:tc>
        <w:tc>
          <w:tcPr>
            <w:tcW w:w="709" w:type="dxa"/>
            <w:vMerge w:val="restart"/>
            <w:shd w:val="clear" w:color="auto" w:fill="auto"/>
            <w:vAlign w:val="center"/>
          </w:tcPr>
          <w:p>
            <w:pPr>
              <w:widowControl/>
              <w:jc w:val="center"/>
              <w:rPr>
                <w:rFonts w:ascii="宋体" w:hAnsi="宋体" w:cs="宋体"/>
                <w:color w:val="000000"/>
                <w:kern w:val="0"/>
                <w:szCs w:val="21"/>
              </w:rPr>
            </w:pPr>
          </w:p>
        </w:tc>
        <w:tc>
          <w:tcPr>
            <w:tcW w:w="1134" w:type="dxa"/>
            <w:shd w:val="clear" w:color="auto" w:fill="auto"/>
            <w:vAlign w:val="center"/>
          </w:tcPr>
          <w:p>
            <w:pPr>
              <w:widowControl/>
              <w:jc w:val="center"/>
              <w:rPr>
                <w:rFonts w:ascii="宋体" w:hAnsi="宋体" w:cs="宋体"/>
                <w:color w:val="000000"/>
                <w:kern w:val="0"/>
                <w:szCs w:val="21"/>
              </w:rPr>
            </w:pPr>
          </w:p>
        </w:tc>
        <w:tc>
          <w:tcPr>
            <w:tcW w:w="100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=含税单价*12，下同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632"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监测频率：7*24小时针对广发银行负面舆情预警和专项定制化舆情预警（备注：涵盖所有工作日和周末、节假日）。</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shd w:val="clear" w:color="auto" w:fill="auto"/>
            <w:vAlign w:val="center"/>
          </w:tcPr>
          <w:p>
            <w:pPr>
              <w:widowControl/>
              <w:jc w:val="center"/>
              <w:rPr>
                <w:rFonts w:ascii="宋体" w:hAnsi="宋体" w:cs="宋体"/>
                <w:color w:val="000000"/>
                <w:kern w:val="0"/>
                <w:szCs w:val="21"/>
              </w:rPr>
            </w:pPr>
          </w:p>
        </w:tc>
        <w:tc>
          <w:tcPr>
            <w:tcW w:w="709" w:type="dxa"/>
            <w:vMerge w:val="continue"/>
            <w:shd w:val="clear" w:color="auto" w:fill="auto"/>
            <w:vAlign w:val="center"/>
          </w:tcPr>
          <w:p>
            <w:pPr>
              <w:jc w:val="center"/>
              <w:rPr>
                <w:rFonts w:ascii="宋体" w:hAnsi="宋体" w:cs="宋体"/>
                <w:color w:val="000000"/>
                <w:kern w:val="0"/>
                <w:szCs w:val="21"/>
              </w:rPr>
            </w:pPr>
          </w:p>
        </w:tc>
        <w:tc>
          <w:tcPr>
            <w:tcW w:w="1134" w:type="dxa"/>
            <w:shd w:val="clear" w:color="auto" w:fill="auto"/>
            <w:vAlign w:val="center"/>
          </w:tcPr>
          <w:p>
            <w:pPr>
              <w:widowControl/>
              <w:jc w:val="left"/>
              <w:rPr>
                <w:rFonts w:ascii="宋体" w:hAnsi="宋体" w:cs="宋体"/>
                <w:color w:val="000000"/>
                <w:kern w:val="0"/>
                <w:szCs w:val="21"/>
              </w:rPr>
            </w:pPr>
          </w:p>
        </w:tc>
        <w:tc>
          <w:tcPr>
            <w:tcW w:w="1000" w:type="dxa"/>
            <w:shd w:val="clear" w:color="auto" w:fill="auto"/>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0" w:hRule="atLeast"/>
          <w:jc w:val="center"/>
        </w:trPr>
        <w:tc>
          <w:tcPr>
            <w:tcW w:w="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632"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监测报告：按期提供广发银行每日舆情报告、银行同业每周舆情报告、广发银行和同业每月舆情统计分析以及半年度和全年广发银行舆情总结分析。</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shd w:val="clear" w:color="auto" w:fill="auto"/>
            <w:vAlign w:val="center"/>
          </w:tcPr>
          <w:p>
            <w:pPr>
              <w:widowControl/>
              <w:jc w:val="center"/>
              <w:rPr>
                <w:rFonts w:ascii="宋体" w:hAnsi="宋体" w:cs="宋体"/>
                <w:color w:val="000000"/>
                <w:kern w:val="0"/>
                <w:szCs w:val="21"/>
              </w:rPr>
            </w:pPr>
          </w:p>
        </w:tc>
        <w:tc>
          <w:tcPr>
            <w:tcW w:w="709" w:type="dxa"/>
            <w:vMerge w:val="continue"/>
            <w:shd w:val="clear" w:color="auto" w:fill="auto"/>
            <w:vAlign w:val="center"/>
          </w:tcPr>
          <w:p>
            <w:pPr>
              <w:jc w:val="center"/>
              <w:rPr>
                <w:rFonts w:ascii="宋体" w:hAnsi="宋体" w:cs="宋体"/>
                <w:color w:val="000000"/>
                <w:kern w:val="0"/>
                <w:szCs w:val="21"/>
              </w:rPr>
            </w:pPr>
          </w:p>
        </w:tc>
        <w:tc>
          <w:tcPr>
            <w:tcW w:w="1134" w:type="dxa"/>
            <w:shd w:val="clear" w:color="auto" w:fill="auto"/>
            <w:vAlign w:val="center"/>
          </w:tcPr>
          <w:p>
            <w:pPr>
              <w:widowControl/>
              <w:jc w:val="left"/>
              <w:rPr>
                <w:rFonts w:ascii="宋体" w:hAnsi="宋体" w:cs="宋体"/>
                <w:color w:val="000000"/>
                <w:kern w:val="0"/>
                <w:szCs w:val="21"/>
              </w:rPr>
            </w:pPr>
          </w:p>
        </w:tc>
        <w:tc>
          <w:tcPr>
            <w:tcW w:w="1000" w:type="dxa"/>
            <w:shd w:val="clear" w:color="auto" w:fill="auto"/>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4" w:hRule="atLeast"/>
          <w:jc w:val="center"/>
        </w:trPr>
        <w:tc>
          <w:tcPr>
            <w:tcW w:w="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632"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监测总分行各级机构设立的自媒体账号（如总分行的微信公众号、微博等）发布的文章情况。（预计100多个账号)</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709" w:type="dxa"/>
            <w:vMerge w:val="continue"/>
            <w:shd w:val="clear" w:color="auto" w:fill="auto"/>
            <w:vAlign w:val="center"/>
          </w:tcPr>
          <w:p>
            <w:pPr>
              <w:jc w:val="center"/>
              <w:rPr>
                <w:rFonts w:ascii="宋体" w:hAnsi="宋体" w:cs="宋体"/>
                <w:color w:val="000000"/>
                <w:kern w:val="0"/>
                <w:szCs w:val="21"/>
              </w:rPr>
            </w:pPr>
          </w:p>
        </w:tc>
        <w:tc>
          <w:tcPr>
            <w:tcW w:w="1134" w:type="dxa"/>
            <w:shd w:val="clear" w:color="auto" w:fill="auto"/>
            <w:vAlign w:val="center"/>
          </w:tcPr>
          <w:p>
            <w:pPr>
              <w:widowControl/>
              <w:jc w:val="left"/>
              <w:rPr>
                <w:rFonts w:ascii="宋体" w:hAnsi="宋体" w:cs="宋体"/>
                <w:color w:val="000000"/>
                <w:kern w:val="0"/>
                <w:szCs w:val="21"/>
              </w:rPr>
            </w:pPr>
          </w:p>
        </w:tc>
        <w:tc>
          <w:tcPr>
            <w:tcW w:w="1000" w:type="dxa"/>
            <w:shd w:val="clear" w:color="auto" w:fill="auto"/>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jc w:val="center"/>
        </w:trPr>
        <w:tc>
          <w:tcPr>
            <w:tcW w:w="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632"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监测广发银行特定合作机构的舆情信息(预计不超过150个机构，每2周排查1次并提供排查报告)</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　</w:t>
            </w:r>
          </w:p>
        </w:tc>
        <w:tc>
          <w:tcPr>
            <w:tcW w:w="709" w:type="dxa"/>
            <w:vMerge w:val="continue"/>
            <w:shd w:val="clear" w:color="auto" w:fill="auto"/>
            <w:vAlign w:val="center"/>
          </w:tcPr>
          <w:p>
            <w:pPr>
              <w:jc w:val="center"/>
              <w:rPr>
                <w:rFonts w:ascii="宋体" w:hAnsi="宋体" w:cs="宋体"/>
                <w:color w:val="000000"/>
                <w:kern w:val="0"/>
                <w:szCs w:val="21"/>
              </w:rPr>
            </w:pPr>
          </w:p>
        </w:tc>
        <w:tc>
          <w:tcPr>
            <w:tcW w:w="1134" w:type="dxa"/>
            <w:shd w:val="clear" w:color="auto" w:fill="auto"/>
            <w:vAlign w:val="center"/>
          </w:tcPr>
          <w:p>
            <w:pPr>
              <w:widowControl/>
              <w:jc w:val="left"/>
              <w:rPr>
                <w:rFonts w:ascii="宋体" w:hAnsi="宋体" w:cs="宋体"/>
                <w:color w:val="000000"/>
                <w:kern w:val="0"/>
                <w:szCs w:val="21"/>
              </w:rPr>
            </w:pPr>
          </w:p>
        </w:tc>
        <w:tc>
          <w:tcPr>
            <w:tcW w:w="1000" w:type="dxa"/>
            <w:shd w:val="clear" w:color="auto" w:fill="auto"/>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jc w:val="center"/>
        </w:trPr>
        <w:tc>
          <w:tcPr>
            <w:tcW w:w="4381"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含税合计：</w:t>
            </w:r>
          </w:p>
        </w:tc>
        <w:tc>
          <w:tcPr>
            <w:tcW w:w="5395" w:type="dxa"/>
            <w:gridSpan w:val="5"/>
            <w:shd w:val="clear" w:color="auto" w:fill="auto"/>
            <w:vAlign w:val="center"/>
          </w:tcPr>
          <w:p>
            <w:pPr>
              <w:widowControl/>
              <w:jc w:val="center"/>
              <w:rPr>
                <w:rFonts w:ascii="宋体" w:hAnsi="宋体"/>
                <w:color w:val="000000"/>
                <w:kern w:val="0"/>
                <w:szCs w:val="21"/>
              </w:rPr>
            </w:pPr>
            <w:r>
              <w:rPr>
                <w:rFonts w:ascii="宋体"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jc w:val="center"/>
        </w:trPr>
        <w:tc>
          <w:tcPr>
            <w:tcW w:w="9776" w:type="dxa"/>
            <w:gridSpan w:val="7"/>
          </w:tcPr>
          <w:p>
            <w:pPr>
              <w:widowControl/>
              <w:rPr>
                <w:rFonts w:ascii="宋体" w:hAnsi="宋体"/>
                <w:color w:val="000000"/>
                <w:kern w:val="0"/>
                <w:szCs w:val="21"/>
              </w:rPr>
            </w:pPr>
            <w:r>
              <w:rPr>
                <w:rFonts w:hint="eastAsia" w:ascii="宋体" w:hAnsi="宋体"/>
                <w:color w:val="000000"/>
                <w:kern w:val="0"/>
                <w:szCs w:val="21"/>
              </w:rPr>
              <w:t>我司可为本项目提供：（供应商勾选）</w:t>
            </w:r>
          </w:p>
          <w:p>
            <w:pPr>
              <w:widowControl/>
              <w:rPr>
                <w:rFonts w:ascii="宋体" w:hAnsi="宋体"/>
                <w:color w:val="000000"/>
                <w:kern w:val="0"/>
                <w:szCs w:val="21"/>
              </w:rPr>
            </w:pPr>
            <w:r>
              <w:rPr>
                <w:rFonts w:hint="eastAsia" w:ascii="宋体" w:hAnsi="宋体"/>
                <w:color w:val="000000"/>
                <w:kern w:val="0"/>
                <w:szCs w:val="21"/>
              </w:rPr>
              <w:t>□增值税专用发票/□增值税普通发票/□其他</w:t>
            </w:r>
          </w:p>
        </w:tc>
      </w:tr>
    </w:tbl>
    <w:p>
      <w:pPr>
        <w:spacing w:line="360" w:lineRule="auto"/>
        <w:rPr>
          <w:rFonts w:ascii="宋体" w:hAnsi="宋体" w:cs="Courier New"/>
          <w:sz w:val="18"/>
          <w:szCs w:val="18"/>
        </w:rPr>
      </w:pPr>
      <w:r>
        <w:rPr>
          <w:rFonts w:hint="eastAsia" w:ascii="宋体" w:hAnsi="Courier New" w:cs="Courier New"/>
          <w:bCs/>
          <w:sz w:val="18"/>
          <w:szCs w:val="18"/>
        </w:rPr>
        <w:t>注：</w:t>
      </w:r>
      <w:r>
        <w:rPr>
          <w:rFonts w:ascii="宋体" w:hAnsi="宋体" w:cs="Courier New"/>
          <w:sz w:val="18"/>
          <w:szCs w:val="18"/>
        </w:rPr>
        <w:t xml:space="preserve"> </w:t>
      </w:r>
    </w:p>
    <w:p>
      <w:pPr>
        <w:widowControl/>
        <w:spacing w:line="312" w:lineRule="auto"/>
        <w:jc w:val="left"/>
        <w:rPr>
          <w:rFonts w:ascii="宋体" w:hAnsi="Courier New" w:cs="Courier New"/>
          <w:sz w:val="18"/>
          <w:szCs w:val="18"/>
        </w:rPr>
      </w:pPr>
      <w:r>
        <w:rPr>
          <w:rFonts w:hint="eastAsia" w:ascii="宋体" w:hAnsi="Courier New" w:cs="Courier New"/>
          <w:sz w:val="18"/>
          <w:szCs w:val="18"/>
        </w:rPr>
        <w:t>1.报价表为响应文件的必要文件，属于响应文件的组成部分。含税价格应包括报价单位提供的代付款服务及配套服务等全部费用，报价单位在中选后不得在此表价格外出现其他费用。</w:t>
      </w:r>
    </w:p>
    <w:p>
      <w:pPr>
        <w:widowControl/>
        <w:spacing w:line="312" w:lineRule="auto"/>
        <w:jc w:val="left"/>
        <w:rPr>
          <w:rFonts w:ascii="宋体" w:hAnsi="Courier New" w:cs="Courier New"/>
          <w:sz w:val="18"/>
          <w:szCs w:val="18"/>
        </w:rPr>
      </w:pPr>
      <w:r>
        <w:rPr>
          <w:rFonts w:hint="eastAsia" w:ascii="宋体" w:hAnsi="Courier New" w:cs="Courier New"/>
          <w:sz w:val="18"/>
          <w:szCs w:val="18"/>
        </w:rPr>
        <w:t>2.上表的报价货币为人民币。</w:t>
      </w:r>
    </w:p>
    <w:p>
      <w:pPr>
        <w:widowControl/>
        <w:spacing w:line="312" w:lineRule="auto"/>
        <w:jc w:val="left"/>
        <w:rPr>
          <w:rFonts w:ascii="宋体" w:hAnsi="Courier New" w:cs="Courier New"/>
          <w:sz w:val="18"/>
          <w:szCs w:val="18"/>
        </w:rPr>
      </w:pPr>
      <w:r>
        <w:rPr>
          <w:rFonts w:hint="eastAsia" w:ascii="宋体" w:hAnsi="Courier New" w:cs="Courier New"/>
          <w:sz w:val="18"/>
          <w:szCs w:val="18"/>
        </w:rPr>
        <w:t>3.报价有效期与本项目供应商须知前附表的响应文件有效期一致。</w:t>
      </w:r>
    </w:p>
    <w:p>
      <w:pPr>
        <w:widowControl/>
        <w:spacing w:line="312" w:lineRule="auto"/>
        <w:jc w:val="left"/>
        <w:rPr>
          <w:rFonts w:ascii="宋体" w:hAnsi="Courier New" w:cs="Courier New"/>
          <w:sz w:val="18"/>
          <w:szCs w:val="18"/>
        </w:rPr>
      </w:pPr>
      <w:r>
        <w:rPr>
          <w:rFonts w:hint="eastAsia" w:ascii="宋体" w:hAnsi="Courier New" w:cs="Courier New"/>
          <w:sz w:val="18"/>
          <w:szCs w:val="18"/>
        </w:rPr>
        <w:t>4.报价包括报价单位所提供的商品或服务中所涉及到的有关知识产权和专利权的财产价值，报价单位应承担所有关于报价单位所提供的商品或服务中所涉及到的专利权和版权或其他知识产权而需要向第三方支付的版税、使用费等费用，采购人无需因此另行支付相关费用。</w:t>
      </w:r>
    </w:p>
    <w:p>
      <w:pPr>
        <w:widowControl/>
        <w:spacing w:line="312" w:lineRule="auto"/>
        <w:jc w:val="left"/>
        <w:rPr>
          <w:rFonts w:ascii="宋体" w:hAnsi="Courier New" w:cs="Courier New"/>
          <w:sz w:val="18"/>
          <w:szCs w:val="18"/>
        </w:rPr>
      </w:pPr>
      <w:r>
        <w:rPr>
          <w:rFonts w:hint="eastAsia" w:ascii="宋体" w:hAnsi="Courier New" w:cs="Courier New"/>
          <w:sz w:val="18"/>
          <w:szCs w:val="18"/>
        </w:rPr>
        <w:t>5.如涉及整体报价优惠，需分摊到各分项报价中。若磋商供应商在提供整体优惠或作第二次报价时未对单价和合价作相应调整，则视为所有单价和合价按比例（即整体优惠比例，或第二次报价与第一次报价的比例）调整。</w:t>
      </w:r>
    </w:p>
    <w:p>
      <w:pPr>
        <w:widowControl/>
        <w:spacing w:line="312" w:lineRule="auto"/>
        <w:jc w:val="left"/>
        <w:rPr>
          <w:rFonts w:ascii="宋体" w:hAnsi="Courier New" w:cs="Courier New"/>
          <w:sz w:val="18"/>
          <w:szCs w:val="18"/>
        </w:rPr>
      </w:pPr>
      <w:r>
        <w:rPr>
          <w:rFonts w:hint="eastAsia" w:ascii="宋体" w:hAnsi="Courier New" w:cs="Courier New"/>
          <w:sz w:val="18"/>
          <w:szCs w:val="18"/>
        </w:rPr>
        <w:t>6.合同期内，如增值税率因国家规定发生变化，合同价款将按上述不含税价格及新税率重新计算调整，并按新调整的合同含税价款执行。调整后含税价格=不含税价格×（1+调整后税率）。</w:t>
      </w:r>
    </w:p>
    <w:p>
      <w:pPr>
        <w:ind w:right="25" w:rightChars="12"/>
      </w:pPr>
      <w:r>
        <w:rPr>
          <w:rFonts w:hint="eastAsia" w:ascii="宋体" w:hAnsi="Courier New" w:cs="Courier New"/>
          <w:sz w:val="18"/>
          <w:szCs w:val="18"/>
        </w:rPr>
        <w:t>。</w:t>
      </w:r>
      <w:r>
        <w:rPr>
          <w:rFonts w:hint="eastAsia" w:ascii="宋体" w:hAnsi="宋体"/>
          <w:bCs/>
          <w:sz w:val="18"/>
          <w:szCs w:val="18"/>
        </w:rPr>
        <w:t xml:space="preserve">                                           </w:t>
      </w:r>
      <w:r>
        <w:rPr>
          <w:rFonts w:hint="eastAsia"/>
        </w:rPr>
        <w:t>磋商供应商（法人公章）：</w:t>
      </w:r>
    </w:p>
    <w:p>
      <w:pPr>
        <w:ind w:right="25" w:rightChars="12" w:firstLine="3885" w:firstLineChars="1850"/>
      </w:pPr>
    </w:p>
    <w:p>
      <w:pPr>
        <w:ind w:right="25" w:rightChars="12" w:firstLine="3885" w:firstLineChars="1850"/>
      </w:pPr>
      <w:r>
        <w:rPr>
          <w:rFonts w:hint="eastAsia"/>
        </w:rPr>
        <w:t>授权代表（签字或盖章）：</w:t>
      </w:r>
    </w:p>
    <w:p>
      <w:pPr>
        <w:ind w:right="25" w:rightChars="12" w:firstLine="3885" w:firstLineChars="1850"/>
      </w:pPr>
    </w:p>
    <w:p>
      <w:pPr>
        <w:spacing w:line="360" w:lineRule="auto"/>
        <w:ind w:firstLine="3885" w:firstLineChars="1850"/>
      </w:pPr>
      <w:r>
        <w:rPr>
          <w:rFonts w:hint="eastAsia"/>
        </w:rPr>
        <w:t>日期：</w:t>
      </w:r>
      <w:r>
        <w:br w:type="page"/>
      </w:r>
    </w:p>
    <w:p>
      <w:pPr>
        <w:spacing w:line="360" w:lineRule="auto"/>
      </w:pPr>
    </w:p>
    <w:p>
      <w:pPr>
        <w:spacing w:line="360" w:lineRule="auto"/>
        <w:jc w:val="center"/>
        <w:outlineLvl w:val="1"/>
        <w:rPr>
          <w:rFonts w:ascii="宋体" w:hAnsi="宋体"/>
          <w:b/>
          <w:szCs w:val="21"/>
        </w:rPr>
      </w:pPr>
      <w:bookmarkStart w:id="122" w:name="_Toc507608773"/>
      <w:r>
        <w:rPr>
          <w:rFonts w:hint="eastAsia" w:ascii="宋体" w:hAnsi="宋体"/>
          <w:b/>
          <w:szCs w:val="21"/>
        </w:rPr>
        <w:t xml:space="preserve">第四章 </w:t>
      </w:r>
      <w:r>
        <w:rPr>
          <w:rFonts w:hint="eastAsia"/>
          <w:b/>
        </w:rPr>
        <w:t>响应自查情况</w:t>
      </w:r>
      <w:bookmarkEnd w:id="122"/>
    </w:p>
    <w:p>
      <w:pPr>
        <w:widowControl/>
        <w:spacing w:line="360" w:lineRule="auto"/>
      </w:pPr>
    </w:p>
    <w:p>
      <w:pPr>
        <w:adjustRightInd w:val="0"/>
        <w:snapToGrid w:val="0"/>
        <w:spacing w:line="360" w:lineRule="auto"/>
        <w:outlineLvl w:val="1"/>
        <w:rPr>
          <w:rFonts w:asciiTheme="minorEastAsia" w:hAnsiTheme="minorEastAsia" w:eastAsiaTheme="minorEastAsia"/>
          <w:b/>
          <w:kern w:val="1"/>
          <w:szCs w:val="21"/>
        </w:rPr>
      </w:pPr>
      <w:bookmarkStart w:id="123" w:name="_Toc507608774"/>
      <w:r>
        <w:rPr>
          <w:rFonts w:hint="eastAsia" w:asciiTheme="minorEastAsia" w:hAnsiTheme="minorEastAsia" w:eastAsiaTheme="minorEastAsia"/>
          <w:b/>
          <w:kern w:val="1"/>
          <w:szCs w:val="21"/>
        </w:rPr>
        <w:t>一、</w:t>
      </w:r>
      <w:r>
        <w:rPr>
          <w:rFonts w:asciiTheme="minorEastAsia" w:hAnsiTheme="minorEastAsia" w:eastAsiaTheme="minorEastAsia"/>
          <w:b/>
          <w:kern w:val="1"/>
          <w:szCs w:val="21"/>
        </w:rPr>
        <w:t>初步评审表</w:t>
      </w:r>
      <w:r>
        <w:rPr>
          <w:rFonts w:hint="eastAsia" w:asciiTheme="minorEastAsia" w:hAnsiTheme="minorEastAsia" w:eastAsiaTheme="minorEastAsia"/>
          <w:b/>
          <w:kern w:val="1"/>
          <w:szCs w:val="21"/>
        </w:rPr>
        <w:t>自查情况</w:t>
      </w:r>
      <w:bookmarkEnd w:id="123"/>
    </w:p>
    <w:p>
      <w:pPr>
        <w:spacing w:line="360" w:lineRule="auto"/>
        <w:jc w:val="left"/>
        <w:rPr>
          <w:rFonts w:ascii="宋体"/>
          <w:szCs w:val="21"/>
        </w:rPr>
      </w:pPr>
      <w:r>
        <w:rPr>
          <w:rFonts w:hint="eastAsia" w:cs="Arial" w:asciiTheme="minorEastAsia" w:hAnsiTheme="minorEastAsia" w:eastAsiaTheme="minorEastAsia"/>
          <w:b/>
          <w:kern w:val="0"/>
          <w:szCs w:val="21"/>
        </w:rPr>
        <w:t>（注：下表有效性审查项须和第五部分评分办法初步审查表内容一致，供应商应仔细核对并填写下表）</w:t>
      </w:r>
    </w:p>
    <w:tbl>
      <w:tblPr>
        <w:tblStyle w:val="74"/>
        <w:tblW w:w="98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4462"/>
        <w:gridCol w:w="2410"/>
        <w:gridCol w:w="2423"/>
      </w:tblGrid>
      <w:tr>
        <w:tblPrEx>
          <w:tblLayout w:type="fixed"/>
        </w:tblPrEx>
        <w:trPr>
          <w:trHeight w:val="796" w:hRule="exact"/>
          <w:tblHeader/>
        </w:trPr>
        <w:tc>
          <w:tcPr>
            <w:tcW w:w="572" w:type="dxa"/>
            <w:vAlign w:val="center"/>
          </w:tcPr>
          <w:p>
            <w:pPr>
              <w:jc w:val="center"/>
              <w:rPr>
                <w:rFonts w:ascii="宋体"/>
                <w:b/>
                <w:szCs w:val="21"/>
              </w:rPr>
            </w:pPr>
            <w:r>
              <w:rPr>
                <w:rFonts w:hint="eastAsia" w:ascii="宋体" w:hAnsi="宋体"/>
                <w:b/>
                <w:szCs w:val="21"/>
              </w:rPr>
              <w:t>序号</w:t>
            </w:r>
          </w:p>
        </w:tc>
        <w:tc>
          <w:tcPr>
            <w:tcW w:w="4462" w:type="dxa"/>
            <w:tcBorders>
              <w:tl2br w:val="single" w:color="auto" w:sz="4" w:space="0"/>
            </w:tcBorders>
            <w:vAlign w:val="center"/>
          </w:tcPr>
          <w:p>
            <w:pPr>
              <w:jc w:val="right"/>
              <w:rPr>
                <w:rFonts w:ascii="宋体"/>
                <w:b/>
                <w:szCs w:val="21"/>
              </w:rPr>
            </w:pPr>
            <w:r>
              <w:rPr>
                <w:rFonts w:hint="eastAsia" w:ascii="宋体" w:hAnsi="宋体"/>
                <w:b/>
                <w:szCs w:val="21"/>
              </w:rPr>
              <w:t>供应商</w:t>
            </w:r>
          </w:p>
          <w:p>
            <w:pPr>
              <w:rPr>
                <w:rFonts w:ascii="宋体"/>
              </w:rPr>
            </w:pPr>
            <w:r>
              <w:rPr>
                <w:rFonts w:hint="eastAsia" w:ascii="宋体" w:hAnsi="宋体"/>
                <w:b/>
                <w:szCs w:val="21"/>
              </w:rPr>
              <w:t>响应有效性审查项</w:t>
            </w:r>
          </w:p>
        </w:tc>
        <w:tc>
          <w:tcPr>
            <w:tcW w:w="2410" w:type="dxa"/>
            <w:vAlign w:val="center"/>
          </w:tcPr>
          <w:p>
            <w:pPr>
              <w:jc w:val="center"/>
              <w:rPr>
                <w:rFonts w:ascii="宋体"/>
              </w:rPr>
            </w:pPr>
            <w:r>
              <w:rPr>
                <w:rFonts w:hint="eastAsia" w:ascii="宋体" w:hAnsi="宋体"/>
              </w:rPr>
              <w:t>自查结论</w:t>
            </w:r>
          </w:p>
        </w:tc>
        <w:tc>
          <w:tcPr>
            <w:tcW w:w="2423" w:type="dxa"/>
            <w:vAlign w:val="center"/>
          </w:tcPr>
          <w:p>
            <w:pPr>
              <w:jc w:val="center"/>
              <w:rPr>
                <w:rFonts w:ascii="宋体"/>
              </w:rPr>
            </w:pPr>
            <w:r>
              <w:rPr>
                <w:rFonts w:hint="eastAsia"/>
                <w:bCs/>
                <w:szCs w:val="21"/>
              </w:rPr>
              <w:t>证明资料</w:t>
            </w:r>
          </w:p>
        </w:tc>
      </w:tr>
      <w:tr>
        <w:tblPrEx>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pPr>
            <w:r>
              <w:rPr>
                <w:rFonts w:hint="eastAsia"/>
                <w:sz w:val="18"/>
                <w:szCs w:val="18"/>
              </w:rPr>
              <w:t>报价函及报价有效期符合要求</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 w:val="18"/>
                <w:szCs w:val="18"/>
              </w:rPr>
            </w:pPr>
            <w:r>
              <w:rPr>
                <w:rFonts w:hint="eastAsia"/>
                <w:sz w:val="18"/>
                <w:szCs w:val="18"/>
              </w:rPr>
              <w:t>按磋商文件规定加盖公章和签署</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pPr>
            <w:r>
              <w:rPr>
                <w:rFonts w:hint="eastAsia"/>
                <w:sz w:val="18"/>
                <w:szCs w:val="18"/>
              </w:rPr>
              <w:t>已提交法定代表人</w:t>
            </w:r>
            <w:r>
              <w:rPr>
                <w:sz w:val="18"/>
                <w:szCs w:val="18"/>
              </w:rPr>
              <w:t>/</w:t>
            </w:r>
            <w:r>
              <w:rPr>
                <w:rFonts w:hint="eastAsia"/>
                <w:sz w:val="18"/>
                <w:szCs w:val="18"/>
              </w:rPr>
              <w:t>负责人资格证明书及授权委托书</w:t>
            </w:r>
          </w:p>
        </w:tc>
        <w:tc>
          <w:tcPr>
            <w:tcW w:w="2410" w:type="dxa"/>
            <w:vAlign w:val="center"/>
          </w:tcPr>
          <w:p>
            <w:pPr>
              <w:tabs>
                <w:tab w:val="left" w:pos="686"/>
                <w:tab w:val="left" w:pos="1030"/>
              </w:tabs>
              <w:spacing w:before="40" w:after="40"/>
              <w:rPr>
                <w:rFonts w:ascii="宋体" w:hAnsi="宋体"/>
                <w:sz w:val="24"/>
                <w:szCs w:val="21"/>
              </w:rPr>
            </w:pPr>
            <w:r>
              <w:rPr>
                <w:rFonts w:hint="eastAsia"/>
              </w:rPr>
              <w:t>□通过□不通过</w:t>
            </w:r>
          </w:p>
        </w:tc>
        <w:tc>
          <w:tcPr>
            <w:tcW w:w="2423" w:type="dxa"/>
            <w:vAlign w:val="center"/>
          </w:tcPr>
          <w:p>
            <w:pPr>
              <w:spacing w:before="40" w:after="40"/>
              <w:rPr>
                <w:rFonts w:ascii="宋体"/>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Cs w:val="21"/>
              </w:rPr>
            </w:pPr>
            <w:r>
              <w:rPr>
                <w:rFonts w:hint="eastAsia"/>
                <w:sz w:val="18"/>
                <w:szCs w:val="18"/>
              </w:rPr>
              <w:t>磋商保证金符合要求</w:t>
            </w:r>
          </w:p>
        </w:tc>
        <w:tc>
          <w:tcPr>
            <w:tcW w:w="2410" w:type="dxa"/>
            <w:vAlign w:val="center"/>
          </w:tcPr>
          <w:p>
            <w:pPr>
              <w:tabs>
                <w:tab w:val="left" w:pos="686"/>
                <w:tab w:val="left" w:pos="1030"/>
              </w:tabs>
              <w:spacing w:before="40" w:after="40"/>
              <w:rPr>
                <w:rFonts w:ascii="宋体"/>
                <w:szCs w:val="21"/>
              </w:rPr>
            </w:pPr>
            <w:r>
              <w:rPr>
                <w:rFonts w:hint="eastAsia"/>
              </w:rPr>
              <w:t>□通过□不通过</w:t>
            </w:r>
          </w:p>
        </w:tc>
        <w:tc>
          <w:tcPr>
            <w:tcW w:w="2423" w:type="dxa"/>
            <w:vAlign w:val="center"/>
          </w:tcPr>
          <w:p>
            <w:pPr>
              <w:spacing w:before="40" w:after="40"/>
              <w:rPr>
                <w:rFonts w:ascii="宋体"/>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3"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 w:val="18"/>
                <w:szCs w:val="18"/>
              </w:rPr>
            </w:pPr>
            <w:r>
              <w:rPr>
                <w:rFonts w:hint="eastAsia"/>
                <w:sz w:val="18"/>
                <w:szCs w:val="18"/>
              </w:rPr>
              <w:t>符合本项目采购公告列示的供应商资格条件要求</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 w:val="18"/>
                <w:szCs w:val="18"/>
              </w:rPr>
            </w:pPr>
            <w:r>
              <w:rPr>
                <w:rFonts w:hint="eastAsia"/>
                <w:sz w:val="18"/>
                <w:szCs w:val="18"/>
              </w:rPr>
              <w:t>响应文件主要资料齐全</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Cs w:val="21"/>
              </w:rPr>
            </w:pPr>
            <w:r>
              <w:rPr>
                <w:rFonts w:hint="eastAsia"/>
                <w:sz w:val="18"/>
                <w:szCs w:val="18"/>
              </w:rPr>
              <w:t>按规定格式填写，无关键内容不全或关键字迹模糊、无法辨认</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tabs>
                <w:tab w:val="left" w:pos="2880"/>
              </w:tabs>
              <w:ind w:left="40" w:leftChars="19"/>
            </w:pPr>
            <w:r>
              <w:rPr>
                <w:rFonts w:hint="eastAsia"/>
                <w:sz w:val="18"/>
                <w:szCs w:val="18"/>
              </w:rPr>
              <w:t>供应商无递交两份或多份内容不同的响应文件，或在一份响应文件中对同一采购服务有两个或多个报价，且未声明哪个为最终报价的（磋商文件规定提交备选报价方案的除外）</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tabs>
                <w:tab w:val="left" w:pos="2880"/>
              </w:tabs>
              <w:ind w:left="40" w:leftChars="19"/>
              <w:rPr>
                <w:sz w:val="18"/>
                <w:szCs w:val="18"/>
              </w:rPr>
            </w:pPr>
            <w:r>
              <w:rPr>
                <w:rFonts w:hint="eastAsia"/>
                <w:sz w:val="18"/>
                <w:szCs w:val="18"/>
              </w:rPr>
              <w:t>报价价格是固定价且未超过本项目设定的最高报价限价（如有限价要求），也未有因报价明显低于其他响应供应商报价且未能说明其报价合理性被认定低于成本的情形</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sz w:val="18"/>
                <w:szCs w:val="18"/>
              </w:rPr>
            </w:pPr>
            <w:r>
              <w:rPr>
                <w:rFonts w:hint="eastAsia"/>
                <w:sz w:val="18"/>
                <w:szCs w:val="18"/>
              </w:rPr>
              <w:t>报价无重大漏项或重大不合理</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pStyle w:val="771"/>
              <w:spacing w:line="260" w:lineRule="exact"/>
              <w:ind w:left="-171"/>
              <w:jc w:val="center"/>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rFonts w:ascii="宋体" w:hAnsi="宋体"/>
                <w:sz w:val="18"/>
                <w:szCs w:val="18"/>
              </w:rPr>
            </w:pPr>
            <w:r>
              <w:rPr>
                <w:rFonts w:hint="eastAsia" w:ascii="宋体" w:hAnsi="宋体"/>
                <w:sz w:val="18"/>
                <w:szCs w:val="18"/>
              </w:rPr>
              <w:t>联合体报价附联合体共同报价协议书（如有允许联合体报价）</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rFonts w:ascii="宋体" w:hAnsi="宋体"/>
                <w:sz w:val="18"/>
                <w:szCs w:val="18"/>
              </w:rPr>
            </w:pPr>
            <w:r>
              <w:rPr>
                <w:rFonts w:hint="eastAsia" w:ascii="宋体" w:hAnsi="宋体"/>
                <w:sz w:val="18"/>
                <w:szCs w:val="18"/>
              </w:rPr>
              <w:t>★条款满足磋商文件要求</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rFonts w:ascii="宋体" w:hAnsi="宋体"/>
                <w:sz w:val="18"/>
                <w:szCs w:val="18"/>
              </w:rPr>
            </w:pPr>
            <w:r>
              <w:rPr>
                <w:rFonts w:hint="eastAsia" w:ascii="宋体" w:hAnsi="宋体"/>
                <w:sz w:val="18"/>
                <w:szCs w:val="18"/>
              </w:rPr>
              <w:t>无磋商文件或法规明确规定可以废标的其他情形</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572" w:type="dxa"/>
            <w:vAlign w:val="center"/>
          </w:tcPr>
          <w:p>
            <w:pPr>
              <w:widowControl/>
              <w:numPr>
                <w:ilvl w:val="0"/>
                <w:numId w:val="9"/>
              </w:numPr>
              <w:spacing w:before="40" w:after="40"/>
              <w:jc w:val="center"/>
              <w:rPr>
                <w:rFonts w:ascii="宋体"/>
                <w:szCs w:val="21"/>
              </w:rPr>
            </w:pPr>
          </w:p>
        </w:tc>
        <w:tc>
          <w:tcPr>
            <w:tcW w:w="4462" w:type="dxa"/>
            <w:vAlign w:val="center"/>
          </w:tcPr>
          <w:p>
            <w:pPr>
              <w:ind w:left="40" w:leftChars="19"/>
              <w:rPr>
                <w:rFonts w:ascii="宋体" w:hAnsi="宋体"/>
                <w:sz w:val="18"/>
                <w:szCs w:val="18"/>
              </w:rPr>
            </w:pPr>
            <w:r>
              <w:rPr>
                <w:rFonts w:hint="eastAsia" w:ascii="宋体" w:hAnsi="宋体"/>
                <w:sz w:val="18"/>
                <w:szCs w:val="18"/>
              </w:rPr>
              <w:t>供应商最终报价是否低于前面轮次磋商报价，且如高于的话，是否合理</w:t>
            </w:r>
          </w:p>
        </w:tc>
        <w:tc>
          <w:tcPr>
            <w:tcW w:w="2410" w:type="dxa"/>
            <w:vAlign w:val="center"/>
          </w:tcPr>
          <w:p>
            <w:pPr>
              <w:tabs>
                <w:tab w:val="left" w:pos="686"/>
                <w:tab w:val="left" w:pos="1030"/>
              </w:tabs>
              <w:spacing w:before="40" w:after="40"/>
              <w:rPr>
                <w:rFonts w:ascii="宋体"/>
              </w:rPr>
            </w:pPr>
            <w:r>
              <w:rPr>
                <w:rFonts w:hint="eastAsia"/>
              </w:rPr>
              <w:t>□通过□不通过</w:t>
            </w:r>
          </w:p>
        </w:tc>
        <w:tc>
          <w:tcPr>
            <w:tcW w:w="2423" w:type="dxa"/>
            <w:vAlign w:val="center"/>
          </w:tcPr>
          <w:p>
            <w:pPr>
              <w:spacing w:before="40" w:after="40"/>
              <w:rPr>
                <w:rFonts w:ascii="宋体"/>
                <w:b/>
                <w:szCs w:val="21"/>
              </w:rPr>
            </w:pPr>
            <w:r>
              <w:rPr>
                <w:rFonts w:hint="eastAsia"/>
              </w:rPr>
              <w:t>见响应文件第（）页</w:t>
            </w:r>
          </w:p>
        </w:tc>
      </w:tr>
    </w:tbl>
    <w:p>
      <w:pPr>
        <w:spacing w:line="360" w:lineRule="auto"/>
        <w:jc w:val="left"/>
        <w:rPr>
          <w:szCs w:val="21"/>
        </w:rPr>
      </w:pPr>
      <w:r>
        <w:rPr>
          <w:rFonts w:hint="eastAsia"/>
          <w:szCs w:val="21"/>
        </w:rPr>
        <w:t>注：以上材料将作为供应商合格性和有效性审核的重要内容之一，供应商必须严格按照其内容及要求在响应文件中对应如实提供，对缺漏和不符合项将会直接导致无效报价！</w:t>
      </w:r>
    </w:p>
    <w:p>
      <w:pPr>
        <w:spacing w:line="360" w:lineRule="auto"/>
        <w:jc w:val="left"/>
        <w:rPr>
          <w:szCs w:val="21"/>
        </w:rPr>
        <w:sectPr>
          <w:footerReference r:id="rId4" w:type="default"/>
          <w:pgSz w:w="11906" w:h="16838"/>
          <w:pgMar w:top="1247" w:right="1247" w:bottom="1247" w:left="1247" w:header="851" w:footer="992" w:gutter="0"/>
          <w:cols w:space="720" w:num="1"/>
          <w:docGrid w:linePitch="312" w:charSpace="0"/>
        </w:sectPr>
      </w:pPr>
      <w:r>
        <w:rPr>
          <w:rFonts w:hint="eastAsia"/>
          <w:szCs w:val="21"/>
        </w:rPr>
        <w:t>供应商自查通过的在对应的□打“√”，否则为不通过，最终通过结果以项目评审委员会评定为准。</w:t>
      </w:r>
    </w:p>
    <w:p>
      <w:pPr>
        <w:adjustRightInd w:val="0"/>
        <w:snapToGrid w:val="0"/>
        <w:spacing w:line="360" w:lineRule="auto"/>
        <w:outlineLvl w:val="1"/>
        <w:rPr>
          <w:rFonts w:asciiTheme="minorEastAsia" w:hAnsiTheme="minorEastAsia" w:eastAsiaTheme="minorEastAsia"/>
          <w:b/>
          <w:kern w:val="1"/>
          <w:szCs w:val="21"/>
        </w:rPr>
      </w:pPr>
      <w:bookmarkStart w:id="124" w:name="_Toc507608775"/>
      <w:r>
        <w:rPr>
          <w:rFonts w:hint="eastAsia" w:asciiTheme="minorEastAsia" w:hAnsiTheme="minorEastAsia" w:eastAsiaTheme="minorEastAsia"/>
          <w:b/>
          <w:kern w:val="1"/>
          <w:szCs w:val="21"/>
        </w:rPr>
        <w:t>二、评分标准表自查情况</w:t>
      </w:r>
      <w:bookmarkEnd w:id="124"/>
    </w:p>
    <w:p>
      <w:pPr>
        <w:tabs>
          <w:tab w:val="left" w:pos="420"/>
        </w:tabs>
        <w:spacing w:before="240" w:after="120" w:line="360" w:lineRule="auto"/>
        <w:jc w:val="left"/>
        <w:rPr>
          <w:rFonts w:ascii="宋体" w:hAnsi="宋体" w:cs="宋体"/>
          <w:b/>
          <w:kern w:val="1"/>
        </w:rPr>
      </w:pPr>
      <w:r>
        <w:rPr>
          <w:rFonts w:hint="eastAsia"/>
          <w:b/>
          <w:szCs w:val="21"/>
        </w:rPr>
        <w:t>（注：下表评审内容和评审项目须和本磋商文件第五部分评审办法</w:t>
      </w:r>
      <w:r>
        <w:rPr>
          <w:rFonts w:hint="eastAsia" w:ascii="宋体" w:hAnsi="宋体" w:cs="宋体"/>
          <w:b/>
          <w:kern w:val="1"/>
        </w:rPr>
        <w:t>附表2《评分标准表》的评审内容和评审项目一直，供应商须如实填写响应的情况。）</w:t>
      </w:r>
    </w:p>
    <w:tbl>
      <w:tblPr>
        <w:tblStyle w:val="74"/>
        <w:tblW w:w="9474" w:type="dxa"/>
        <w:tblInd w:w="0" w:type="dxa"/>
        <w:tblLayout w:type="fixed"/>
        <w:tblCellMar>
          <w:top w:w="0" w:type="dxa"/>
          <w:left w:w="108" w:type="dxa"/>
          <w:bottom w:w="0" w:type="dxa"/>
          <w:right w:w="108" w:type="dxa"/>
        </w:tblCellMar>
      </w:tblPr>
      <w:tblGrid>
        <w:gridCol w:w="929"/>
        <w:gridCol w:w="1287"/>
        <w:gridCol w:w="1720"/>
        <w:gridCol w:w="767"/>
        <w:gridCol w:w="4771"/>
      </w:tblGrid>
      <w:tr>
        <w:tblPrEx>
          <w:tblLayout w:type="fixed"/>
        </w:tblPrEx>
        <w:trPr>
          <w:trHeight w:val="621"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评审内容</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评审项目</w:t>
            </w:r>
          </w:p>
        </w:tc>
        <w:tc>
          <w:tcPr>
            <w:tcW w:w="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分值</w:t>
            </w:r>
          </w:p>
        </w:tc>
        <w:tc>
          <w:tcPr>
            <w:tcW w:w="4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响应内容，证明文件</w:t>
            </w:r>
          </w:p>
        </w:tc>
      </w:tr>
      <w:tr>
        <w:tblPrEx>
          <w:tblLayout w:type="fixed"/>
        </w:tblPrEx>
        <w:trPr>
          <w:trHeight w:val="887"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报价</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（30%）</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项目总报价</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128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商务</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（40%）</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公司实力</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287"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合同响应情况</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287"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近三年类似项目经验</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1287"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过往典型案例质量</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1287"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（30%)</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舆情监测报告质量</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6</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1287"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舆情研判分析及同业舆情研判分析报告质量</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6</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1287"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舆情管理方式</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3</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1287"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考核验收要求满足度</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 </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1287"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更优增值服务或合理化建议</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见响应文件第（）页</w:t>
            </w:r>
          </w:p>
        </w:tc>
      </w:tr>
      <w:tr>
        <w:tblPrEx>
          <w:tblLayout w:type="fixed"/>
        </w:tblPrEx>
        <w:trPr>
          <w:trHeight w:val="458" w:hRule="atLeast"/>
        </w:trPr>
        <w:tc>
          <w:tcPr>
            <w:tcW w:w="3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47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bl>
    <w:p>
      <w:pPr>
        <w:tabs>
          <w:tab w:val="left" w:pos="420"/>
        </w:tabs>
        <w:spacing w:before="240" w:after="120" w:line="360" w:lineRule="auto"/>
        <w:jc w:val="left"/>
        <w:rPr>
          <w:rFonts w:ascii="宋体"/>
          <w:b/>
          <w:color w:val="FF0000"/>
          <w:sz w:val="18"/>
          <w:szCs w:val="18"/>
        </w:rPr>
      </w:pPr>
    </w:p>
    <w:sectPr>
      <w:footerReference r:id="rId5" w:type="default"/>
      <w:pgSz w:w="11906" w:h="16838"/>
      <w:pgMar w:top="1247"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_GB2312">
    <w:altName w:val="汉仪楷体KW"/>
    <w:panose1 w:val="00000000000000000000"/>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方正书宋简体">
    <w:altName w:val="Apple SD Gothic Neo"/>
    <w:panose1 w:val="00000000000000000000"/>
    <w:charset w:val="81"/>
    <w:family w:val="roman"/>
    <w:pitch w:val="default"/>
    <w:sig w:usb0="00000000" w:usb1="00000000" w:usb2="00000010" w:usb3="00000000" w:csb0="00080000" w:csb1="00000000"/>
  </w:font>
  <w:font w:name="幼圆">
    <w:altName w:val="华文宋体"/>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Menlo">
    <w:panose1 w:val="020B0609030804020204"/>
    <w:charset w:val="00"/>
    <w:family w:val="auto"/>
    <w:pitch w:val="default"/>
    <w:sig w:usb0="E60022FF" w:usb1="D200F9FB" w:usb2="02000028" w:usb3="00000000" w:csb0="600001DF" w:csb1="FFDF0000"/>
  </w:font>
  <w:font w:name="Tahoma">
    <w:panose1 w:val="020B0804030504040204"/>
    <w:charset w:val="00"/>
    <w:family w:val="swiss"/>
    <w:pitch w:val="default"/>
    <w:sig w:usb0="E1002AFF" w:usb1="C000605B" w:usb2="00000029" w:usb3="00000000" w:csb0="200101FF" w:csb1="20280000"/>
  </w:font>
  <w:font w:name="华文楷体">
    <w:altName w:val="华文宋体"/>
    <w:panose1 w:val="02010600040101010101"/>
    <w:charset w:val="86"/>
    <w:family w:val="auto"/>
    <w:pitch w:val="default"/>
    <w:sig w:usb0="00000000" w:usb1="00000000" w:usb2="00000010" w:usb3="00000000" w:csb0="0004009F" w:csb1="00000000"/>
  </w:font>
  <w:font w:name="ˎ̥">
    <w:altName w:val="苹方-简"/>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Helvetica">
    <w:panose1 w:val="00000000000000000000"/>
    <w:charset w:val="00"/>
    <w:family w:val="swiss"/>
    <w:pitch w:val="default"/>
    <w:sig w:usb0="E00002FF" w:usb1="5000785B" w:usb2="00000000" w:usb3="00000000" w:csb0="2000019F" w:csb1="4F010000"/>
  </w:font>
  <w:font w:name="Futura Bk">
    <w:altName w:val="苹方-简"/>
    <w:panose1 w:val="00000000000000000000"/>
    <w:charset w:val="00"/>
    <w:family w:val="swiss"/>
    <w:pitch w:val="default"/>
    <w:sig w:usb0="00000000" w:usb1="00000000" w:usb2="00000000" w:usb3="00000000" w:csb0="00000001" w:csb1="00000000"/>
  </w:font>
  <w:font w:name="长城仿宋">
    <w:altName w:val="苹方-简"/>
    <w:panose1 w:val="00000000000000000000"/>
    <w:charset w:val="86"/>
    <w:family w:val="swiss"/>
    <w:pitch w:val="default"/>
    <w:sig w:usb0="00000000" w:usb1="00000000" w:usb2="00000010" w:usb3="00000000" w:csb0="00040000" w:csb1="00000000"/>
  </w:font>
  <w:font w:name="華康中楷體">
    <w:altName w:val="苹方-简"/>
    <w:panose1 w:val="00000000000000000000"/>
    <w:charset w:val="88"/>
    <w:family w:val="auto"/>
    <w:pitch w:val="default"/>
    <w:sig w:usb0="00000000" w:usb1="00000000" w:usb2="00000010" w:usb3="00000000" w:csb0="00100000" w:csb1="00000000"/>
  </w:font>
  <w:font w:name="Palatino">
    <w:panose1 w:val="00000000000000000000"/>
    <w:charset w:val="00"/>
    <w:family w:val="swiss"/>
    <w:pitch w:val="default"/>
    <w:sig w:usb0="A00002FF" w:usb1="7800205A" w:usb2="14600000" w:usb3="00000000" w:csb0="20000193" w:csb1="4D000000"/>
  </w:font>
  <w:font w:name="PMingLiU">
    <w:altName w:val="苹方-简"/>
    <w:panose1 w:val="02010601000101010101"/>
    <w:charset w:val="88"/>
    <w:family w:val="auto"/>
    <w:pitch w:val="default"/>
    <w:sig w:usb0="00000000" w:usb1="00000000" w:usb2="00000010" w:usb3="00000000" w:csb0="00100000" w:csb1="00000000"/>
  </w:font>
  <w:font w:name="华文仿宋">
    <w:altName w:val="华文宋体"/>
    <w:panose1 w:val="02010600040101010101"/>
    <w:charset w:val="86"/>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FZHei-B01">
    <w:altName w:val="苹方-简"/>
    <w:panose1 w:val="00000000000000000000"/>
    <w:charset w:val="86"/>
    <w:family w:val="script"/>
    <w:pitch w:val="default"/>
    <w:sig w:usb0="00000000" w:usb1="00000000" w:usb2="00000010" w:usb3="00000000" w:csb0="00040000" w:csb1="00000000"/>
  </w:font>
  <w:font w:name="宋体常规">
    <w:altName w:val="苹方-简"/>
    <w:panose1 w:val="00000000000000000000"/>
    <w:charset w:val="86"/>
    <w:family w:val="roman"/>
    <w:pitch w:val="default"/>
    <w:sig w:usb0="00000000" w:usb1="00000000" w:usb2="00000010"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体">
    <w:altName w:val="苹方-简"/>
    <w:panose1 w:val="00000000000000000000"/>
    <w:charset w:val="86"/>
    <w:family w:val="roman"/>
    <w:pitch w:val="default"/>
    <w:sig w:usb0="00000000" w:usb1="00000000" w:usb2="00000010" w:usb3="00000000" w:csb0="00040000" w:csb1="00000000"/>
  </w:font>
  <w:font w:name="Helv">
    <w:altName w:val="苹方-简"/>
    <w:panose1 w:val="020B0604020202030204"/>
    <w:charset w:val="00"/>
    <w:family w:val="swiss"/>
    <w:pitch w:val="default"/>
    <w:sig w:usb0="00000000" w:usb1="00000000" w:usb2="00000000" w:usb3="00000000" w:csb0="00000001" w:csb1="00000000"/>
  </w:font>
  <w:font w:name="Calisto MT">
    <w:altName w:val="苹方-简"/>
    <w:panose1 w:val="02040603050505030304"/>
    <w:charset w:val="00"/>
    <w:family w:val="roman"/>
    <w:pitch w:val="default"/>
    <w:sig w:usb0="00000000" w:usb1="00000000" w:usb2="00000000" w:usb3="00000000" w:csb0="00000001" w:csb1="00000000"/>
  </w:font>
  <w:font w:name="楷体">
    <w:altName w:val="汉仪楷体KW"/>
    <w:panose1 w:val="02010609060101010101"/>
    <w:charset w:val="86"/>
    <w:family w:val="modern"/>
    <w:pitch w:val="default"/>
    <w:sig w:usb0="00000000" w:usb1="00000000" w:usb2="00000016" w:usb3="00000000" w:csb0="00040001" w:csb1="00000000"/>
  </w:font>
  <w:font w:name="隶书">
    <w:altName w:val="宋体-简"/>
    <w:panose1 w:val="02010509060101010101"/>
    <w:charset w:val="86"/>
    <w:family w:val="modern"/>
    <w:pitch w:val="default"/>
    <w:sig w:usb0="00000000" w:usb1="00000000" w:usb2="00000010" w:usb3="00000000" w:csb0="00040000" w:csb1="00000000"/>
  </w:font>
  <w:font w:name="华文新魏">
    <w:altName w:val="宋体-简"/>
    <w:panose1 w:val="02010800040101010101"/>
    <w:charset w:val="86"/>
    <w:family w:val="auto"/>
    <w:pitch w:val="default"/>
    <w:sig w:usb0="00000000" w:usb1="00000000" w:usb2="00000010" w:usb3="00000000" w:csb0="00040000" w:csb1="00000000"/>
  </w:font>
  <w:font w:name="微软雅黑">
    <w:altName w:val="汉仪旗黑KW"/>
    <w:panose1 w:val="020B0503020204020204"/>
    <w:charset w:val="86"/>
    <w:family w:val="swiss"/>
    <w:pitch w:val="default"/>
    <w:sig w:usb0="00000000" w:usb1="00000000" w:usb2="00000016" w:usb3="00000000" w:csb0="0004001F" w:csb1="00000000"/>
  </w:font>
  <w:font w:name="仿宋">
    <w:altName w:val="汉仪仿宋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Apple SD Gothic Neo">
    <w:panose1 w:val="02000300000000000000"/>
    <w:charset w:val="81"/>
    <w:family w:val="auto"/>
    <w:pitch w:val="default"/>
    <w:sig w:usb0="00000203" w:usb1="21D1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pPr>
    <w:r>
      <w:rPr>
        <w:rFonts w:hint="eastAsia" w:hAnsi="宋体"/>
        <w:kern w:val="0"/>
        <w:szCs w:val="21"/>
      </w:rPr>
      <w:t xml:space="preserve">第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45</w:t>
    </w:r>
    <w:r>
      <w:rPr>
        <w:rFonts w:hAnsi="宋体"/>
        <w:kern w:val="0"/>
        <w:szCs w:val="21"/>
      </w:rPr>
      <w:fldChar w:fldCharType="end"/>
    </w:r>
    <w:r>
      <w:rPr>
        <w:rFonts w:hint="eastAsia" w:hAnsi="宋体"/>
        <w:kern w:val="0"/>
        <w:szCs w:val="21"/>
      </w:rPr>
      <w:t xml:space="preserve"> 页 共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65</w:t>
    </w:r>
    <w:r>
      <w:rPr>
        <w:rFonts w:hAnsi="宋体"/>
        <w:kern w:val="0"/>
        <w:szCs w:val="21"/>
      </w:rPr>
      <w:fldChar w:fldCharType="end"/>
    </w:r>
    <w:r>
      <w:rPr>
        <w:rFonts w:hint="eastAsia"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kern w:val="0"/>
        <w:szCs w:val="21"/>
      </w:rPr>
    </w:pPr>
    <w:r>
      <w:rPr>
        <w:rFonts w:hint="eastAsia" w:hAnsi="宋体"/>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46</w:t>
    </w:r>
    <w:r>
      <w:rPr>
        <w:rFonts w:hAnsi="宋体"/>
        <w:kern w:val="0"/>
        <w:szCs w:val="21"/>
      </w:rPr>
      <w:fldChar w:fldCharType="end"/>
    </w:r>
    <w:r>
      <w:rPr>
        <w:rFonts w:hint="eastAsia" w:hAnsi="宋体"/>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65</w:t>
    </w:r>
    <w:r>
      <w:rPr>
        <w:rFonts w:hAnsi="宋体"/>
        <w:kern w:val="0"/>
        <w:szCs w:val="21"/>
      </w:rPr>
      <w:fldChar w:fldCharType="end"/>
    </w:r>
    <w:r>
      <w:rPr>
        <w:rFonts w:hint="eastAsia" w:hAnsi="宋体"/>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center"/>
      <w:rPr>
        <w:kern w:val="0"/>
        <w:szCs w:val="21"/>
      </w:rPr>
    </w:pPr>
    <w:r>
      <w:rPr>
        <w:rFonts w:hint="eastAsia" w:hAnsi="宋体"/>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65</w:t>
    </w:r>
    <w:r>
      <w:rPr>
        <w:rFonts w:hAnsi="宋体"/>
        <w:kern w:val="0"/>
        <w:szCs w:val="21"/>
      </w:rPr>
      <w:fldChar w:fldCharType="end"/>
    </w:r>
    <w:r>
      <w:rPr>
        <w:rFonts w:hint="eastAsia" w:hAnsi="宋体"/>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65</w:t>
    </w:r>
    <w:r>
      <w:rPr>
        <w:rFonts w:hAnsi="宋体"/>
        <w:kern w:val="0"/>
        <w:szCs w:val="21"/>
      </w:rPr>
      <w:fldChar w:fldCharType="end"/>
    </w:r>
    <w:r>
      <w:rPr>
        <w:rFonts w:hint="eastAsia" w:hAnsi="宋体"/>
        <w:kern w:val="0"/>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6786C01"/>
    <w:multiLevelType w:val="multilevel"/>
    <w:tmpl w:val="06786C01"/>
    <w:lvl w:ilvl="0" w:tentative="0">
      <w:start w:val="1"/>
      <w:numFmt w:val="decimal"/>
      <w:pStyle w:val="219"/>
      <w:lvlText w:val="%1、"/>
      <w:lvlJc w:val="left"/>
      <w:pPr>
        <w:tabs>
          <w:tab w:val="left" w:pos="360"/>
        </w:tabs>
        <w:ind w:left="360" w:hanging="360"/>
      </w:pPr>
      <w:rPr>
        <w:rFonts w:hint="eastAsia" w:ascii="宋体" w:hAnsi="宋体" w:eastAsia="宋体" w:cs="Times New Roman"/>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79495D"/>
    <w:multiLevelType w:val="multilevel"/>
    <w:tmpl w:val="0879495D"/>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59905B5"/>
    <w:multiLevelType w:val="multilevel"/>
    <w:tmpl w:val="259905B5"/>
    <w:lvl w:ilvl="0" w:tentative="0">
      <w:start w:val="1"/>
      <w:numFmt w:val="chineseCountingThousand"/>
      <w:pStyle w:val="317"/>
      <w:suff w:val="space"/>
      <w:lvlText w:val="第%1章"/>
      <w:lvlJc w:val="left"/>
      <w:pPr>
        <w:ind w:left="567" w:hanging="279"/>
      </w:pPr>
      <w:rPr>
        <w:rFonts w:hint="eastAsia" w:ascii="宋体" w:eastAsia="宋体"/>
        <w:b/>
        <w:i w:val="0"/>
        <w:spacing w:val="0"/>
        <w:position w:val="0"/>
        <w:sz w:val="44"/>
      </w:rPr>
    </w:lvl>
    <w:lvl w:ilvl="1" w:tentative="0">
      <w:start w:val="1"/>
      <w:numFmt w:val="decimal"/>
      <w:pStyle w:val="618"/>
      <w:suff w:val="space"/>
      <w:lvlText w:val="%2."/>
      <w:lvlJc w:val="left"/>
      <w:pPr>
        <w:ind w:left="454" w:hanging="454"/>
      </w:pPr>
      <w:rPr>
        <w:rFonts w:hint="eastAsia" w:ascii="宋体" w:eastAsia="宋体"/>
        <w:b/>
        <w:i w:val="0"/>
        <w:sz w:val="32"/>
      </w:rPr>
    </w:lvl>
    <w:lvl w:ilvl="2" w:tentative="0">
      <w:start w:val="1"/>
      <w:numFmt w:val="decimal"/>
      <w:pStyle w:val="285"/>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pStyle w:val="78"/>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917347F"/>
    <w:multiLevelType w:val="multilevel"/>
    <w:tmpl w:val="4917347F"/>
    <w:lvl w:ilvl="0" w:tentative="0">
      <w:start w:val="1"/>
      <w:numFmt w:val="japaneseCounting"/>
      <w:pStyle w:val="447"/>
      <w:lvlText w:val="（%1）"/>
      <w:lvlJc w:val="left"/>
      <w:pPr>
        <w:tabs>
          <w:tab w:val="left" w:pos="720"/>
        </w:tabs>
        <w:ind w:left="720" w:hanging="720"/>
      </w:pPr>
      <w:rPr>
        <w:rFonts w:hint="default"/>
      </w:rPr>
    </w:lvl>
    <w:lvl w:ilvl="1" w:tentative="0">
      <w:start w:val="1"/>
      <w:numFmt w:val="lowerLetter"/>
      <w:pStyle w:val="263"/>
      <w:lvlText w:val="%2)"/>
      <w:lvlJc w:val="left"/>
      <w:pPr>
        <w:tabs>
          <w:tab w:val="left" w:pos="840"/>
        </w:tabs>
        <w:ind w:left="840" w:hanging="420"/>
      </w:pPr>
    </w:lvl>
    <w:lvl w:ilvl="2" w:tentative="0">
      <w:start w:val="1"/>
      <w:numFmt w:val="lowerRoman"/>
      <w:pStyle w:val="404"/>
      <w:lvlText w:val="%3."/>
      <w:lvlJc w:val="right"/>
      <w:pPr>
        <w:tabs>
          <w:tab w:val="left" w:pos="1260"/>
        </w:tabs>
        <w:ind w:left="1260" w:hanging="420"/>
      </w:pPr>
    </w:lvl>
    <w:lvl w:ilvl="3" w:tentative="0">
      <w:start w:val="1"/>
      <w:numFmt w:val="decimal"/>
      <w:pStyle w:val="412"/>
      <w:lvlText w:val="%4."/>
      <w:lvlJc w:val="left"/>
      <w:pPr>
        <w:tabs>
          <w:tab w:val="left" w:pos="1680"/>
        </w:tabs>
        <w:ind w:left="1680" w:hanging="420"/>
      </w:pPr>
    </w:lvl>
    <w:lvl w:ilvl="4" w:tentative="0">
      <w:start w:val="1"/>
      <w:numFmt w:val="lowerLetter"/>
      <w:pStyle w:val="426"/>
      <w:lvlText w:val="%5)"/>
      <w:lvlJc w:val="left"/>
      <w:pPr>
        <w:tabs>
          <w:tab w:val="left" w:pos="2100"/>
        </w:tabs>
        <w:ind w:left="2100" w:hanging="420"/>
      </w:pPr>
    </w:lvl>
    <w:lvl w:ilvl="5" w:tentative="0">
      <w:start w:val="1"/>
      <w:numFmt w:val="lowerRoman"/>
      <w:pStyle w:val="364"/>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AF4B17"/>
    <w:multiLevelType w:val="multilevel"/>
    <w:tmpl w:val="56AF4B1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C417985"/>
    <w:multiLevelType w:val="singleLevel"/>
    <w:tmpl w:val="5C417985"/>
    <w:lvl w:ilvl="0" w:tentative="0">
      <w:start w:val="1"/>
      <w:numFmt w:val="decimal"/>
      <w:suff w:val="nothing"/>
      <w:lvlText w:val="%1."/>
      <w:lvlJc w:val="left"/>
    </w:lvl>
  </w:abstractNum>
  <w:abstractNum w:abstractNumId="7">
    <w:nsid w:val="7B2178EA"/>
    <w:multiLevelType w:val="multilevel"/>
    <w:tmpl w:val="7B2178EA"/>
    <w:lvl w:ilvl="0" w:tentative="0">
      <w:start w:val="1"/>
      <w:numFmt w:val="japaneseCounting"/>
      <w:pStyle w:val="466"/>
      <w:lvlText w:val="（%1）"/>
      <w:lvlJc w:val="left"/>
      <w:pPr>
        <w:tabs>
          <w:tab w:val="left" w:pos="720"/>
        </w:tabs>
        <w:ind w:left="720" w:hanging="720"/>
      </w:pPr>
      <w:rPr>
        <w:rFonts w:hint="default"/>
      </w:rPr>
    </w:lvl>
    <w:lvl w:ilvl="1" w:tentative="0">
      <w:start w:val="1"/>
      <w:numFmt w:val="decimal"/>
      <w:pStyle w:val="349"/>
      <w:lvlText w:val="（%2）"/>
      <w:lvlJc w:val="left"/>
      <w:pPr>
        <w:tabs>
          <w:tab w:val="left" w:pos="1140"/>
        </w:tabs>
        <w:ind w:left="1140" w:hanging="720"/>
      </w:pPr>
      <w:rPr>
        <w:rFonts w:hint="default"/>
      </w:rPr>
    </w:lvl>
    <w:lvl w:ilvl="2" w:tentative="0">
      <w:start w:val="1"/>
      <w:numFmt w:val="japaneseCounting"/>
      <w:pStyle w:val="272"/>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B7331AB"/>
    <w:multiLevelType w:val="multilevel"/>
    <w:tmpl w:val="7B7331AB"/>
    <w:lvl w:ilvl="0" w:tentative="0">
      <w:start w:val="1"/>
      <w:numFmt w:val="japaneseCounting"/>
      <w:pStyle w:val="294"/>
      <w:lvlText w:val="（%1）"/>
      <w:lvlJc w:val="left"/>
      <w:pPr>
        <w:tabs>
          <w:tab w:val="left" w:pos="720"/>
        </w:tabs>
        <w:ind w:left="720" w:hanging="720"/>
      </w:pPr>
      <w:rPr>
        <w:rFonts w:hint="default"/>
      </w:rPr>
    </w:lvl>
    <w:lvl w:ilvl="1" w:tentative="0">
      <w:start w:val="1"/>
      <w:numFmt w:val="lowerLetter"/>
      <w:pStyle w:val="305"/>
      <w:lvlText w:val="%2)"/>
      <w:lvlJc w:val="left"/>
      <w:pPr>
        <w:tabs>
          <w:tab w:val="left" w:pos="840"/>
        </w:tabs>
        <w:ind w:left="840" w:hanging="420"/>
      </w:pPr>
    </w:lvl>
    <w:lvl w:ilvl="2" w:tentative="0">
      <w:start w:val="1"/>
      <w:numFmt w:val="lowerRoman"/>
      <w:pStyle w:val="295"/>
      <w:lvlText w:val="%3."/>
      <w:lvlJc w:val="right"/>
      <w:pPr>
        <w:tabs>
          <w:tab w:val="left" w:pos="1260"/>
        </w:tabs>
        <w:ind w:left="1260" w:hanging="420"/>
      </w:pPr>
    </w:lvl>
    <w:lvl w:ilvl="3" w:tentative="0">
      <w:start w:val="1"/>
      <w:numFmt w:val="decimal"/>
      <w:pStyle w:val="325"/>
      <w:lvlText w:val="%4."/>
      <w:lvlJc w:val="left"/>
      <w:pPr>
        <w:tabs>
          <w:tab w:val="left" w:pos="1680"/>
        </w:tabs>
        <w:ind w:left="1680" w:hanging="420"/>
      </w:pPr>
    </w:lvl>
    <w:lvl w:ilvl="4" w:tentative="0">
      <w:start w:val="1"/>
      <w:numFmt w:val="lowerLetter"/>
      <w:pStyle w:val="35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64"/>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1"/>
  </w:num>
  <w:num w:numId="4">
    <w:abstractNumId w:val="4"/>
  </w:num>
  <w:num w:numId="5">
    <w:abstractNumId w:val="7"/>
  </w:num>
  <w:num w:numId="6">
    <w:abstractNumId w:val="6"/>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hideSpellingErrors/>
  <w:trackRevisions w:val="1"/>
  <w:documentProtection w:enforcement="0"/>
  <w:defaultTabStop w:val="0"/>
  <w:drawingGridHorizontalSpacing w:val="201"/>
  <w:drawingGridVerticalSpacing w:val="145"/>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EA"/>
    <w:rsid w:val="000011CD"/>
    <w:rsid w:val="00001B94"/>
    <w:rsid w:val="0000289C"/>
    <w:rsid w:val="000028BE"/>
    <w:rsid w:val="0000299C"/>
    <w:rsid w:val="00003DCE"/>
    <w:rsid w:val="00004792"/>
    <w:rsid w:val="00004870"/>
    <w:rsid w:val="00004FAB"/>
    <w:rsid w:val="00005709"/>
    <w:rsid w:val="00005B4B"/>
    <w:rsid w:val="0000713F"/>
    <w:rsid w:val="00007A0E"/>
    <w:rsid w:val="00007E23"/>
    <w:rsid w:val="00010368"/>
    <w:rsid w:val="000103C1"/>
    <w:rsid w:val="000119E3"/>
    <w:rsid w:val="00011D72"/>
    <w:rsid w:val="000125E1"/>
    <w:rsid w:val="000132E9"/>
    <w:rsid w:val="0001405E"/>
    <w:rsid w:val="000145A8"/>
    <w:rsid w:val="00015F2A"/>
    <w:rsid w:val="00015FF7"/>
    <w:rsid w:val="00016935"/>
    <w:rsid w:val="00016B37"/>
    <w:rsid w:val="00016CF9"/>
    <w:rsid w:val="00020BB2"/>
    <w:rsid w:val="00021EDE"/>
    <w:rsid w:val="000221BE"/>
    <w:rsid w:val="00024DC9"/>
    <w:rsid w:val="00025856"/>
    <w:rsid w:val="000268D2"/>
    <w:rsid w:val="00027762"/>
    <w:rsid w:val="000278B2"/>
    <w:rsid w:val="00027FDA"/>
    <w:rsid w:val="000301D2"/>
    <w:rsid w:val="00032574"/>
    <w:rsid w:val="00032EF9"/>
    <w:rsid w:val="00033956"/>
    <w:rsid w:val="000341E7"/>
    <w:rsid w:val="00034407"/>
    <w:rsid w:val="0003607C"/>
    <w:rsid w:val="00036F5E"/>
    <w:rsid w:val="00037C2E"/>
    <w:rsid w:val="00041748"/>
    <w:rsid w:val="00041D52"/>
    <w:rsid w:val="00041E0E"/>
    <w:rsid w:val="000446DE"/>
    <w:rsid w:val="00045F04"/>
    <w:rsid w:val="00046C9B"/>
    <w:rsid w:val="00047236"/>
    <w:rsid w:val="0004763A"/>
    <w:rsid w:val="00047A7E"/>
    <w:rsid w:val="00047FF6"/>
    <w:rsid w:val="00050B82"/>
    <w:rsid w:val="00051E2E"/>
    <w:rsid w:val="0005272E"/>
    <w:rsid w:val="000527AD"/>
    <w:rsid w:val="0005424F"/>
    <w:rsid w:val="00054345"/>
    <w:rsid w:val="00055AE1"/>
    <w:rsid w:val="00055DEC"/>
    <w:rsid w:val="000561F0"/>
    <w:rsid w:val="000567DA"/>
    <w:rsid w:val="000569C0"/>
    <w:rsid w:val="0005708E"/>
    <w:rsid w:val="00060FFA"/>
    <w:rsid w:val="00063094"/>
    <w:rsid w:val="000650A4"/>
    <w:rsid w:val="00065691"/>
    <w:rsid w:val="00066DD9"/>
    <w:rsid w:val="0006738B"/>
    <w:rsid w:val="000676F7"/>
    <w:rsid w:val="00067E31"/>
    <w:rsid w:val="00071B3F"/>
    <w:rsid w:val="00074B5A"/>
    <w:rsid w:val="00074FE4"/>
    <w:rsid w:val="000759AE"/>
    <w:rsid w:val="000807AD"/>
    <w:rsid w:val="0008129A"/>
    <w:rsid w:val="000813A1"/>
    <w:rsid w:val="00081C0F"/>
    <w:rsid w:val="00082202"/>
    <w:rsid w:val="000824B9"/>
    <w:rsid w:val="00082EB2"/>
    <w:rsid w:val="000832D0"/>
    <w:rsid w:val="00083393"/>
    <w:rsid w:val="00084C65"/>
    <w:rsid w:val="000852D2"/>
    <w:rsid w:val="00085D4E"/>
    <w:rsid w:val="00086106"/>
    <w:rsid w:val="00086A91"/>
    <w:rsid w:val="000874A0"/>
    <w:rsid w:val="0008791A"/>
    <w:rsid w:val="00087D87"/>
    <w:rsid w:val="0009087D"/>
    <w:rsid w:val="00090EA7"/>
    <w:rsid w:val="00091FA7"/>
    <w:rsid w:val="000923C8"/>
    <w:rsid w:val="00092C2A"/>
    <w:rsid w:val="00093CFD"/>
    <w:rsid w:val="00094415"/>
    <w:rsid w:val="00094FAC"/>
    <w:rsid w:val="00095513"/>
    <w:rsid w:val="000957A7"/>
    <w:rsid w:val="000967CA"/>
    <w:rsid w:val="00096CBF"/>
    <w:rsid w:val="00097353"/>
    <w:rsid w:val="00097503"/>
    <w:rsid w:val="000A0339"/>
    <w:rsid w:val="000A11C8"/>
    <w:rsid w:val="000A4214"/>
    <w:rsid w:val="000A42CF"/>
    <w:rsid w:val="000A44CF"/>
    <w:rsid w:val="000A47AB"/>
    <w:rsid w:val="000A4FBB"/>
    <w:rsid w:val="000A571B"/>
    <w:rsid w:val="000A5EF9"/>
    <w:rsid w:val="000A6012"/>
    <w:rsid w:val="000A6380"/>
    <w:rsid w:val="000A717C"/>
    <w:rsid w:val="000A76F7"/>
    <w:rsid w:val="000B004E"/>
    <w:rsid w:val="000B0D06"/>
    <w:rsid w:val="000B3395"/>
    <w:rsid w:val="000B3C0E"/>
    <w:rsid w:val="000B448D"/>
    <w:rsid w:val="000B4A5A"/>
    <w:rsid w:val="000B5259"/>
    <w:rsid w:val="000B52C2"/>
    <w:rsid w:val="000B5E5D"/>
    <w:rsid w:val="000B60B2"/>
    <w:rsid w:val="000B71B8"/>
    <w:rsid w:val="000B76B1"/>
    <w:rsid w:val="000C2248"/>
    <w:rsid w:val="000C2819"/>
    <w:rsid w:val="000C2F4E"/>
    <w:rsid w:val="000C377F"/>
    <w:rsid w:val="000C42AD"/>
    <w:rsid w:val="000C42E5"/>
    <w:rsid w:val="000C4FA3"/>
    <w:rsid w:val="000C5199"/>
    <w:rsid w:val="000C5BB7"/>
    <w:rsid w:val="000C7530"/>
    <w:rsid w:val="000D3273"/>
    <w:rsid w:val="000D3C14"/>
    <w:rsid w:val="000D59D8"/>
    <w:rsid w:val="000D5BCD"/>
    <w:rsid w:val="000D644E"/>
    <w:rsid w:val="000D76DD"/>
    <w:rsid w:val="000D7985"/>
    <w:rsid w:val="000D7F05"/>
    <w:rsid w:val="000E2774"/>
    <w:rsid w:val="000E2ABB"/>
    <w:rsid w:val="000E2C56"/>
    <w:rsid w:val="000E2E51"/>
    <w:rsid w:val="000E3F05"/>
    <w:rsid w:val="000E45D8"/>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4ACC"/>
    <w:rsid w:val="000F506F"/>
    <w:rsid w:val="000F510A"/>
    <w:rsid w:val="000F5555"/>
    <w:rsid w:val="000F5AD4"/>
    <w:rsid w:val="000F5B7F"/>
    <w:rsid w:val="000F5F62"/>
    <w:rsid w:val="000F61B8"/>
    <w:rsid w:val="000F7204"/>
    <w:rsid w:val="000F7C79"/>
    <w:rsid w:val="000F7E10"/>
    <w:rsid w:val="0010079F"/>
    <w:rsid w:val="00100907"/>
    <w:rsid w:val="001009E1"/>
    <w:rsid w:val="00101B8B"/>
    <w:rsid w:val="0010240C"/>
    <w:rsid w:val="001034B6"/>
    <w:rsid w:val="00104D1E"/>
    <w:rsid w:val="001066DF"/>
    <w:rsid w:val="00107052"/>
    <w:rsid w:val="00110DC2"/>
    <w:rsid w:val="00110F5E"/>
    <w:rsid w:val="00111C6A"/>
    <w:rsid w:val="00111FBB"/>
    <w:rsid w:val="001127A7"/>
    <w:rsid w:val="001140BE"/>
    <w:rsid w:val="001145B8"/>
    <w:rsid w:val="001153CB"/>
    <w:rsid w:val="00115484"/>
    <w:rsid w:val="001154E9"/>
    <w:rsid w:val="00115F73"/>
    <w:rsid w:val="0011619D"/>
    <w:rsid w:val="001201FC"/>
    <w:rsid w:val="001208B8"/>
    <w:rsid w:val="00120988"/>
    <w:rsid w:val="001226E4"/>
    <w:rsid w:val="00122936"/>
    <w:rsid w:val="00122F76"/>
    <w:rsid w:val="00123A59"/>
    <w:rsid w:val="00124317"/>
    <w:rsid w:val="00124595"/>
    <w:rsid w:val="001246C1"/>
    <w:rsid w:val="00125DEB"/>
    <w:rsid w:val="00126945"/>
    <w:rsid w:val="00126C28"/>
    <w:rsid w:val="0012744B"/>
    <w:rsid w:val="0012745E"/>
    <w:rsid w:val="00127EA7"/>
    <w:rsid w:val="00130AB2"/>
    <w:rsid w:val="00130D0D"/>
    <w:rsid w:val="00131119"/>
    <w:rsid w:val="00131439"/>
    <w:rsid w:val="00131A47"/>
    <w:rsid w:val="0013296B"/>
    <w:rsid w:val="00132B94"/>
    <w:rsid w:val="00132E6E"/>
    <w:rsid w:val="001333E5"/>
    <w:rsid w:val="00133ABA"/>
    <w:rsid w:val="00133C61"/>
    <w:rsid w:val="001343DE"/>
    <w:rsid w:val="001345AF"/>
    <w:rsid w:val="00135B53"/>
    <w:rsid w:val="00135FE8"/>
    <w:rsid w:val="001361D3"/>
    <w:rsid w:val="0013696B"/>
    <w:rsid w:val="001373B3"/>
    <w:rsid w:val="00137464"/>
    <w:rsid w:val="00137F11"/>
    <w:rsid w:val="001404A0"/>
    <w:rsid w:val="001408E7"/>
    <w:rsid w:val="00142F32"/>
    <w:rsid w:val="001440A1"/>
    <w:rsid w:val="00145D97"/>
    <w:rsid w:val="00145EAC"/>
    <w:rsid w:val="0014620B"/>
    <w:rsid w:val="0014660B"/>
    <w:rsid w:val="00146AB4"/>
    <w:rsid w:val="00146CE1"/>
    <w:rsid w:val="00146FDD"/>
    <w:rsid w:val="00150F4E"/>
    <w:rsid w:val="0015226A"/>
    <w:rsid w:val="0015242F"/>
    <w:rsid w:val="0015269A"/>
    <w:rsid w:val="00152F43"/>
    <w:rsid w:val="00152FF3"/>
    <w:rsid w:val="00153113"/>
    <w:rsid w:val="001531D9"/>
    <w:rsid w:val="001535B8"/>
    <w:rsid w:val="00154AF7"/>
    <w:rsid w:val="00156D90"/>
    <w:rsid w:val="0016041A"/>
    <w:rsid w:val="001622F6"/>
    <w:rsid w:val="00164A61"/>
    <w:rsid w:val="00164D8A"/>
    <w:rsid w:val="00165FBA"/>
    <w:rsid w:val="00166D00"/>
    <w:rsid w:val="00170047"/>
    <w:rsid w:val="0017062F"/>
    <w:rsid w:val="001707D9"/>
    <w:rsid w:val="00170BBB"/>
    <w:rsid w:val="00170C36"/>
    <w:rsid w:val="00170EAE"/>
    <w:rsid w:val="00171640"/>
    <w:rsid w:val="00173A85"/>
    <w:rsid w:val="0017509C"/>
    <w:rsid w:val="00175588"/>
    <w:rsid w:val="00175CDF"/>
    <w:rsid w:val="001761FF"/>
    <w:rsid w:val="0017793D"/>
    <w:rsid w:val="00181EFB"/>
    <w:rsid w:val="0018204C"/>
    <w:rsid w:val="00184121"/>
    <w:rsid w:val="00184171"/>
    <w:rsid w:val="001863CF"/>
    <w:rsid w:val="00186683"/>
    <w:rsid w:val="00186C77"/>
    <w:rsid w:val="00187252"/>
    <w:rsid w:val="00187E67"/>
    <w:rsid w:val="00190967"/>
    <w:rsid w:val="0019297F"/>
    <w:rsid w:val="0019350C"/>
    <w:rsid w:val="00193513"/>
    <w:rsid w:val="0019420D"/>
    <w:rsid w:val="00194781"/>
    <w:rsid w:val="0019536C"/>
    <w:rsid w:val="0019574C"/>
    <w:rsid w:val="001957E1"/>
    <w:rsid w:val="00195AED"/>
    <w:rsid w:val="00195DBA"/>
    <w:rsid w:val="00196BBD"/>
    <w:rsid w:val="001977B8"/>
    <w:rsid w:val="00197824"/>
    <w:rsid w:val="001A0473"/>
    <w:rsid w:val="001A0DB7"/>
    <w:rsid w:val="001A0E14"/>
    <w:rsid w:val="001A2080"/>
    <w:rsid w:val="001A29B1"/>
    <w:rsid w:val="001A3FD0"/>
    <w:rsid w:val="001A4679"/>
    <w:rsid w:val="001A4B55"/>
    <w:rsid w:val="001A4F37"/>
    <w:rsid w:val="001A4F83"/>
    <w:rsid w:val="001A5AA3"/>
    <w:rsid w:val="001A61C3"/>
    <w:rsid w:val="001A65F7"/>
    <w:rsid w:val="001A6BAB"/>
    <w:rsid w:val="001A7887"/>
    <w:rsid w:val="001B1361"/>
    <w:rsid w:val="001B1856"/>
    <w:rsid w:val="001B2B37"/>
    <w:rsid w:val="001B2BAF"/>
    <w:rsid w:val="001B32CA"/>
    <w:rsid w:val="001B4D64"/>
    <w:rsid w:val="001B58D3"/>
    <w:rsid w:val="001B60CD"/>
    <w:rsid w:val="001B73B3"/>
    <w:rsid w:val="001B7683"/>
    <w:rsid w:val="001B7A26"/>
    <w:rsid w:val="001C0070"/>
    <w:rsid w:val="001C05DA"/>
    <w:rsid w:val="001C0C55"/>
    <w:rsid w:val="001C1F0B"/>
    <w:rsid w:val="001C286F"/>
    <w:rsid w:val="001C299B"/>
    <w:rsid w:val="001C3DC3"/>
    <w:rsid w:val="001C6206"/>
    <w:rsid w:val="001C744F"/>
    <w:rsid w:val="001C7946"/>
    <w:rsid w:val="001C7BBA"/>
    <w:rsid w:val="001D08BA"/>
    <w:rsid w:val="001D0A1D"/>
    <w:rsid w:val="001D13F4"/>
    <w:rsid w:val="001D167E"/>
    <w:rsid w:val="001D262F"/>
    <w:rsid w:val="001D2A29"/>
    <w:rsid w:val="001D3C8E"/>
    <w:rsid w:val="001D6825"/>
    <w:rsid w:val="001D6BBE"/>
    <w:rsid w:val="001D6F87"/>
    <w:rsid w:val="001D760A"/>
    <w:rsid w:val="001E060C"/>
    <w:rsid w:val="001E0AFA"/>
    <w:rsid w:val="001E0B1F"/>
    <w:rsid w:val="001E25CF"/>
    <w:rsid w:val="001E28E0"/>
    <w:rsid w:val="001E2B9E"/>
    <w:rsid w:val="001E38DB"/>
    <w:rsid w:val="001E41A8"/>
    <w:rsid w:val="001E4C00"/>
    <w:rsid w:val="001E4DFC"/>
    <w:rsid w:val="001E7D24"/>
    <w:rsid w:val="001E7DD2"/>
    <w:rsid w:val="001F1A06"/>
    <w:rsid w:val="001F2D4B"/>
    <w:rsid w:val="001F3012"/>
    <w:rsid w:val="001F322E"/>
    <w:rsid w:val="001F3464"/>
    <w:rsid w:val="001F5B22"/>
    <w:rsid w:val="001F6ADD"/>
    <w:rsid w:val="002012B6"/>
    <w:rsid w:val="00204494"/>
    <w:rsid w:val="0020460F"/>
    <w:rsid w:val="00204998"/>
    <w:rsid w:val="00205099"/>
    <w:rsid w:val="00205F81"/>
    <w:rsid w:val="00206EBF"/>
    <w:rsid w:val="00206FCB"/>
    <w:rsid w:val="00206FF2"/>
    <w:rsid w:val="002072D8"/>
    <w:rsid w:val="00207C35"/>
    <w:rsid w:val="00207E3C"/>
    <w:rsid w:val="00210852"/>
    <w:rsid w:val="00211FBC"/>
    <w:rsid w:val="00212E6F"/>
    <w:rsid w:val="00213C8C"/>
    <w:rsid w:val="00214B94"/>
    <w:rsid w:val="002179A4"/>
    <w:rsid w:val="002203A9"/>
    <w:rsid w:val="002209B0"/>
    <w:rsid w:val="00220D38"/>
    <w:rsid w:val="00220F9C"/>
    <w:rsid w:val="002254B6"/>
    <w:rsid w:val="002254D7"/>
    <w:rsid w:val="002266A4"/>
    <w:rsid w:val="002266CB"/>
    <w:rsid w:val="00226C72"/>
    <w:rsid w:val="00226CFD"/>
    <w:rsid w:val="0023163E"/>
    <w:rsid w:val="00232B73"/>
    <w:rsid w:val="00232ECE"/>
    <w:rsid w:val="0023334C"/>
    <w:rsid w:val="00234CFC"/>
    <w:rsid w:val="00235F90"/>
    <w:rsid w:val="00237654"/>
    <w:rsid w:val="00241CFD"/>
    <w:rsid w:val="00241D73"/>
    <w:rsid w:val="002435B2"/>
    <w:rsid w:val="002435E2"/>
    <w:rsid w:val="00245CAB"/>
    <w:rsid w:val="0024673B"/>
    <w:rsid w:val="00247109"/>
    <w:rsid w:val="00250787"/>
    <w:rsid w:val="00251BD0"/>
    <w:rsid w:val="00252891"/>
    <w:rsid w:val="00252F3B"/>
    <w:rsid w:val="00253140"/>
    <w:rsid w:val="0025455F"/>
    <w:rsid w:val="002545CF"/>
    <w:rsid w:val="00254829"/>
    <w:rsid w:val="002550EE"/>
    <w:rsid w:val="00255116"/>
    <w:rsid w:val="002568C2"/>
    <w:rsid w:val="00257169"/>
    <w:rsid w:val="00257860"/>
    <w:rsid w:val="00260D8C"/>
    <w:rsid w:val="0026178F"/>
    <w:rsid w:val="0026189B"/>
    <w:rsid w:val="00261D0B"/>
    <w:rsid w:val="00262463"/>
    <w:rsid w:val="002627D0"/>
    <w:rsid w:val="00263CDB"/>
    <w:rsid w:val="0026539F"/>
    <w:rsid w:val="002657E8"/>
    <w:rsid w:val="00265B93"/>
    <w:rsid w:val="0026681E"/>
    <w:rsid w:val="00266B26"/>
    <w:rsid w:val="002676F8"/>
    <w:rsid w:val="00267ECE"/>
    <w:rsid w:val="00270D7E"/>
    <w:rsid w:val="00270FB8"/>
    <w:rsid w:val="00271929"/>
    <w:rsid w:val="002720C7"/>
    <w:rsid w:val="002725F2"/>
    <w:rsid w:val="00275269"/>
    <w:rsid w:val="002764E5"/>
    <w:rsid w:val="002767E5"/>
    <w:rsid w:val="00276DF7"/>
    <w:rsid w:val="00277B7E"/>
    <w:rsid w:val="002805AE"/>
    <w:rsid w:val="0028126D"/>
    <w:rsid w:val="00281B9B"/>
    <w:rsid w:val="00281C54"/>
    <w:rsid w:val="00282CF0"/>
    <w:rsid w:val="00283DAB"/>
    <w:rsid w:val="00283F5C"/>
    <w:rsid w:val="0028584D"/>
    <w:rsid w:val="002869BB"/>
    <w:rsid w:val="00287658"/>
    <w:rsid w:val="002904DD"/>
    <w:rsid w:val="00290A4B"/>
    <w:rsid w:val="00290E97"/>
    <w:rsid w:val="002921DB"/>
    <w:rsid w:val="0029248E"/>
    <w:rsid w:val="00292921"/>
    <w:rsid w:val="002943CE"/>
    <w:rsid w:val="00294A47"/>
    <w:rsid w:val="00295B87"/>
    <w:rsid w:val="002960BD"/>
    <w:rsid w:val="0029652F"/>
    <w:rsid w:val="00296F0C"/>
    <w:rsid w:val="002976A6"/>
    <w:rsid w:val="002A11F7"/>
    <w:rsid w:val="002A13B9"/>
    <w:rsid w:val="002A142A"/>
    <w:rsid w:val="002A205E"/>
    <w:rsid w:val="002A28F3"/>
    <w:rsid w:val="002A2CF2"/>
    <w:rsid w:val="002A360F"/>
    <w:rsid w:val="002A3DFB"/>
    <w:rsid w:val="002A3E03"/>
    <w:rsid w:val="002A4CE1"/>
    <w:rsid w:val="002A62F1"/>
    <w:rsid w:val="002A6BE8"/>
    <w:rsid w:val="002A6E99"/>
    <w:rsid w:val="002A7174"/>
    <w:rsid w:val="002A7329"/>
    <w:rsid w:val="002B0D1A"/>
    <w:rsid w:val="002B1EC2"/>
    <w:rsid w:val="002B327E"/>
    <w:rsid w:val="002B48F1"/>
    <w:rsid w:val="002B5BF7"/>
    <w:rsid w:val="002B6CB8"/>
    <w:rsid w:val="002B6D32"/>
    <w:rsid w:val="002B75C3"/>
    <w:rsid w:val="002B7E41"/>
    <w:rsid w:val="002C083C"/>
    <w:rsid w:val="002C0ACD"/>
    <w:rsid w:val="002C1BF2"/>
    <w:rsid w:val="002C4D98"/>
    <w:rsid w:val="002C529B"/>
    <w:rsid w:val="002C5DAF"/>
    <w:rsid w:val="002C722E"/>
    <w:rsid w:val="002C7F2A"/>
    <w:rsid w:val="002D05D6"/>
    <w:rsid w:val="002D0832"/>
    <w:rsid w:val="002D0F78"/>
    <w:rsid w:val="002D1003"/>
    <w:rsid w:val="002D158B"/>
    <w:rsid w:val="002D15AD"/>
    <w:rsid w:val="002D21DB"/>
    <w:rsid w:val="002D2DB3"/>
    <w:rsid w:val="002D2E4E"/>
    <w:rsid w:val="002D309B"/>
    <w:rsid w:val="002D40C2"/>
    <w:rsid w:val="002D5113"/>
    <w:rsid w:val="002D5274"/>
    <w:rsid w:val="002D6123"/>
    <w:rsid w:val="002E0016"/>
    <w:rsid w:val="002E0BD1"/>
    <w:rsid w:val="002E1591"/>
    <w:rsid w:val="002E1FF1"/>
    <w:rsid w:val="002E4709"/>
    <w:rsid w:val="002E4BAA"/>
    <w:rsid w:val="002E4FF5"/>
    <w:rsid w:val="002E5122"/>
    <w:rsid w:val="002E5BB8"/>
    <w:rsid w:val="002E74E4"/>
    <w:rsid w:val="002E7DF4"/>
    <w:rsid w:val="002F02D6"/>
    <w:rsid w:val="002F0BD3"/>
    <w:rsid w:val="002F39B7"/>
    <w:rsid w:val="002F4391"/>
    <w:rsid w:val="002F4917"/>
    <w:rsid w:val="002F589E"/>
    <w:rsid w:val="002F663D"/>
    <w:rsid w:val="002F6C32"/>
    <w:rsid w:val="002F7CDA"/>
    <w:rsid w:val="003005D2"/>
    <w:rsid w:val="00300865"/>
    <w:rsid w:val="00300B35"/>
    <w:rsid w:val="00301111"/>
    <w:rsid w:val="00302513"/>
    <w:rsid w:val="003025B1"/>
    <w:rsid w:val="00303BD3"/>
    <w:rsid w:val="00303F98"/>
    <w:rsid w:val="0030410F"/>
    <w:rsid w:val="00304674"/>
    <w:rsid w:val="00305CE9"/>
    <w:rsid w:val="003062BC"/>
    <w:rsid w:val="00306970"/>
    <w:rsid w:val="00307046"/>
    <w:rsid w:val="00310086"/>
    <w:rsid w:val="00310B19"/>
    <w:rsid w:val="00312C13"/>
    <w:rsid w:val="00313144"/>
    <w:rsid w:val="00313338"/>
    <w:rsid w:val="003135A2"/>
    <w:rsid w:val="00313B24"/>
    <w:rsid w:val="003140E9"/>
    <w:rsid w:val="00314966"/>
    <w:rsid w:val="003157D9"/>
    <w:rsid w:val="003167E4"/>
    <w:rsid w:val="00316D27"/>
    <w:rsid w:val="00317487"/>
    <w:rsid w:val="003203AC"/>
    <w:rsid w:val="00322B3E"/>
    <w:rsid w:val="00323073"/>
    <w:rsid w:val="003238A2"/>
    <w:rsid w:val="00323B36"/>
    <w:rsid w:val="003244C5"/>
    <w:rsid w:val="00324BAC"/>
    <w:rsid w:val="00324D28"/>
    <w:rsid w:val="00324FF1"/>
    <w:rsid w:val="00325AC4"/>
    <w:rsid w:val="00325DEA"/>
    <w:rsid w:val="0032639F"/>
    <w:rsid w:val="00326674"/>
    <w:rsid w:val="00327D94"/>
    <w:rsid w:val="00327DE1"/>
    <w:rsid w:val="00330012"/>
    <w:rsid w:val="00330C07"/>
    <w:rsid w:val="003313A1"/>
    <w:rsid w:val="003337FD"/>
    <w:rsid w:val="00334431"/>
    <w:rsid w:val="0033557D"/>
    <w:rsid w:val="003355EE"/>
    <w:rsid w:val="00335831"/>
    <w:rsid w:val="00335BF6"/>
    <w:rsid w:val="00336A10"/>
    <w:rsid w:val="00336E3A"/>
    <w:rsid w:val="00336E89"/>
    <w:rsid w:val="00337568"/>
    <w:rsid w:val="00337B19"/>
    <w:rsid w:val="00341075"/>
    <w:rsid w:val="00342E17"/>
    <w:rsid w:val="00344639"/>
    <w:rsid w:val="0034492A"/>
    <w:rsid w:val="003449F8"/>
    <w:rsid w:val="00344CE0"/>
    <w:rsid w:val="0034693A"/>
    <w:rsid w:val="00346DD2"/>
    <w:rsid w:val="00347875"/>
    <w:rsid w:val="00347DCC"/>
    <w:rsid w:val="00350129"/>
    <w:rsid w:val="00350547"/>
    <w:rsid w:val="003505F6"/>
    <w:rsid w:val="00350D77"/>
    <w:rsid w:val="00350FCA"/>
    <w:rsid w:val="003526FC"/>
    <w:rsid w:val="00352E39"/>
    <w:rsid w:val="00353E85"/>
    <w:rsid w:val="00354F5D"/>
    <w:rsid w:val="00355623"/>
    <w:rsid w:val="00357604"/>
    <w:rsid w:val="0035787A"/>
    <w:rsid w:val="00357902"/>
    <w:rsid w:val="00360C2B"/>
    <w:rsid w:val="00360D98"/>
    <w:rsid w:val="00361123"/>
    <w:rsid w:val="003625ED"/>
    <w:rsid w:val="00362808"/>
    <w:rsid w:val="0036306B"/>
    <w:rsid w:val="00364ACD"/>
    <w:rsid w:val="00365774"/>
    <w:rsid w:val="00365E9D"/>
    <w:rsid w:val="00366E6F"/>
    <w:rsid w:val="00371DF1"/>
    <w:rsid w:val="00373094"/>
    <w:rsid w:val="003731C5"/>
    <w:rsid w:val="00373AFF"/>
    <w:rsid w:val="0037520B"/>
    <w:rsid w:val="00376167"/>
    <w:rsid w:val="003779D7"/>
    <w:rsid w:val="00377C14"/>
    <w:rsid w:val="003802F5"/>
    <w:rsid w:val="00381045"/>
    <w:rsid w:val="00381523"/>
    <w:rsid w:val="0038159B"/>
    <w:rsid w:val="00381939"/>
    <w:rsid w:val="00381DC3"/>
    <w:rsid w:val="003824DF"/>
    <w:rsid w:val="00382B5F"/>
    <w:rsid w:val="00382CC4"/>
    <w:rsid w:val="00382EDD"/>
    <w:rsid w:val="003838A9"/>
    <w:rsid w:val="00383B83"/>
    <w:rsid w:val="00384050"/>
    <w:rsid w:val="0038475E"/>
    <w:rsid w:val="00384A31"/>
    <w:rsid w:val="0038553F"/>
    <w:rsid w:val="00385729"/>
    <w:rsid w:val="0038661A"/>
    <w:rsid w:val="00392049"/>
    <w:rsid w:val="00392C0B"/>
    <w:rsid w:val="00392D03"/>
    <w:rsid w:val="003946E6"/>
    <w:rsid w:val="00395865"/>
    <w:rsid w:val="00395FA9"/>
    <w:rsid w:val="0039772A"/>
    <w:rsid w:val="003A2338"/>
    <w:rsid w:val="003A2E90"/>
    <w:rsid w:val="003A33F7"/>
    <w:rsid w:val="003A6EDD"/>
    <w:rsid w:val="003B023F"/>
    <w:rsid w:val="003B0598"/>
    <w:rsid w:val="003B1538"/>
    <w:rsid w:val="003B18EA"/>
    <w:rsid w:val="003B1D58"/>
    <w:rsid w:val="003B1EF9"/>
    <w:rsid w:val="003B27AC"/>
    <w:rsid w:val="003B2ABF"/>
    <w:rsid w:val="003B592D"/>
    <w:rsid w:val="003B61D2"/>
    <w:rsid w:val="003B6B46"/>
    <w:rsid w:val="003B6E81"/>
    <w:rsid w:val="003C01FF"/>
    <w:rsid w:val="003C06D0"/>
    <w:rsid w:val="003C0CE8"/>
    <w:rsid w:val="003C18BD"/>
    <w:rsid w:val="003C1CF1"/>
    <w:rsid w:val="003C3D88"/>
    <w:rsid w:val="003C4092"/>
    <w:rsid w:val="003C4143"/>
    <w:rsid w:val="003C61A6"/>
    <w:rsid w:val="003C68DF"/>
    <w:rsid w:val="003D1AB9"/>
    <w:rsid w:val="003D1C21"/>
    <w:rsid w:val="003D1EEB"/>
    <w:rsid w:val="003D2469"/>
    <w:rsid w:val="003D25F3"/>
    <w:rsid w:val="003D45AC"/>
    <w:rsid w:val="003D46D4"/>
    <w:rsid w:val="003D47D2"/>
    <w:rsid w:val="003D4ACD"/>
    <w:rsid w:val="003D6303"/>
    <w:rsid w:val="003D66D9"/>
    <w:rsid w:val="003D6A5E"/>
    <w:rsid w:val="003D7DCD"/>
    <w:rsid w:val="003E0EC4"/>
    <w:rsid w:val="003E1A19"/>
    <w:rsid w:val="003E21DF"/>
    <w:rsid w:val="003E2EC2"/>
    <w:rsid w:val="003E38C4"/>
    <w:rsid w:val="003E444F"/>
    <w:rsid w:val="003E44B0"/>
    <w:rsid w:val="003E5344"/>
    <w:rsid w:val="003E633D"/>
    <w:rsid w:val="003E68B9"/>
    <w:rsid w:val="003F0ED4"/>
    <w:rsid w:val="003F2064"/>
    <w:rsid w:val="003F20BD"/>
    <w:rsid w:val="003F239C"/>
    <w:rsid w:val="003F3321"/>
    <w:rsid w:val="003F3C76"/>
    <w:rsid w:val="003F3F17"/>
    <w:rsid w:val="003F735D"/>
    <w:rsid w:val="003F73A4"/>
    <w:rsid w:val="003F7B72"/>
    <w:rsid w:val="0040197F"/>
    <w:rsid w:val="00402D07"/>
    <w:rsid w:val="004048B1"/>
    <w:rsid w:val="00405DB2"/>
    <w:rsid w:val="0040605B"/>
    <w:rsid w:val="004062E3"/>
    <w:rsid w:val="00406517"/>
    <w:rsid w:val="00406BDE"/>
    <w:rsid w:val="00406C66"/>
    <w:rsid w:val="0040753F"/>
    <w:rsid w:val="0041032E"/>
    <w:rsid w:val="004113A7"/>
    <w:rsid w:val="004119D3"/>
    <w:rsid w:val="00411AFF"/>
    <w:rsid w:val="0041270A"/>
    <w:rsid w:val="0041372C"/>
    <w:rsid w:val="00414482"/>
    <w:rsid w:val="004149C8"/>
    <w:rsid w:val="00414BBC"/>
    <w:rsid w:val="00414CAE"/>
    <w:rsid w:val="004200DA"/>
    <w:rsid w:val="00420A2B"/>
    <w:rsid w:val="00422C7F"/>
    <w:rsid w:val="00423106"/>
    <w:rsid w:val="004256CF"/>
    <w:rsid w:val="004259F8"/>
    <w:rsid w:val="0042639F"/>
    <w:rsid w:val="00426647"/>
    <w:rsid w:val="00426855"/>
    <w:rsid w:val="00426BEF"/>
    <w:rsid w:val="00426D61"/>
    <w:rsid w:val="00426F9F"/>
    <w:rsid w:val="004302B4"/>
    <w:rsid w:val="00431315"/>
    <w:rsid w:val="0043164B"/>
    <w:rsid w:val="00431686"/>
    <w:rsid w:val="004325E3"/>
    <w:rsid w:val="004326D0"/>
    <w:rsid w:val="00433CC1"/>
    <w:rsid w:val="00433F96"/>
    <w:rsid w:val="004352E1"/>
    <w:rsid w:val="004353AA"/>
    <w:rsid w:val="00436DA4"/>
    <w:rsid w:val="00436F73"/>
    <w:rsid w:val="00440BA0"/>
    <w:rsid w:val="0044134B"/>
    <w:rsid w:val="0044170C"/>
    <w:rsid w:val="004427AB"/>
    <w:rsid w:val="00444441"/>
    <w:rsid w:val="00444E01"/>
    <w:rsid w:val="00445073"/>
    <w:rsid w:val="00445776"/>
    <w:rsid w:val="00445C7F"/>
    <w:rsid w:val="0044633F"/>
    <w:rsid w:val="00446E5E"/>
    <w:rsid w:val="00446F0B"/>
    <w:rsid w:val="00447CA7"/>
    <w:rsid w:val="00447E66"/>
    <w:rsid w:val="00450753"/>
    <w:rsid w:val="00450D57"/>
    <w:rsid w:val="004519F8"/>
    <w:rsid w:val="00452590"/>
    <w:rsid w:val="0045284B"/>
    <w:rsid w:val="00452ECD"/>
    <w:rsid w:val="004545BD"/>
    <w:rsid w:val="00454A14"/>
    <w:rsid w:val="00454DE6"/>
    <w:rsid w:val="004556A2"/>
    <w:rsid w:val="00455756"/>
    <w:rsid w:val="00455F64"/>
    <w:rsid w:val="00456CB2"/>
    <w:rsid w:val="004577D9"/>
    <w:rsid w:val="00457BA8"/>
    <w:rsid w:val="0046023D"/>
    <w:rsid w:val="004604A3"/>
    <w:rsid w:val="00460CB7"/>
    <w:rsid w:val="00461B7C"/>
    <w:rsid w:val="004620E7"/>
    <w:rsid w:val="004620F3"/>
    <w:rsid w:val="0046383F"/>
    <w:rsid w:val="00463CC1"/>
    <w:rsid w:val="00465097"/>
    <w:rsid w:val="00466902"/>
    <w:rsid w:val="00466CAC"/>
    <w:rsid w:val="00467801"/>
    <w:rsid w:val="00467E9C"/>
    <w:rsid w:val="0047035D"/>
    <w:rsid w:val="00471801"/>
    <w:rsid w:val="00471CFD"/>
    <w:rsid w:val="004730B3"/>
    <w:rsid w:val="00473819"/>
    <w:rsid w:val="004738C0"/>
    <w:rsid w:val="00473AB9"/>
    <w:rsid w:val="00474C3B"/>
    <w:rsid w:val="004766F8"/>
    <w:rsid w:val="00476B29"/>
    <w:rsid w:val="00477E3F"/>
    <w:rsid w:val="00480B14"/>
    <w:rsid w:val="00480DBD"/>
    <w:rsid w:val="0048176F"/>
    <w:rsid w:val="004819D0"/>
    <w:rsid w:val="00481F93"/>
    <w:rsid w:val="00482359"/>
    <w:rsid w:val="00483198"/>
    <w:rsid w:val="00483949"/>
    <w:rsid w:val="00483E27"/>
    <w:rsid w:val="00484BA7"/>
    <w:rsid w:val="0048501E"/>
    <w:rsid w:val="00485804"/>
    <w:rsid w:val="004860DB"/>
    <w:rsid w:val="004872EC"/>
    <w:rsid w:val="004908D8"/>
    <w:rsid w:val="00491663"/>
    <w:rsid w:val="00491844"/>
    <w:rsid w:val="00492121"/>
    <w:rsid w:val="00493836"/>
    <w:rsid w:val="00494FE8"/>
    <w:rsid w:val="0049510D"/>
    <w:rsid w:val="004964F6"/>
    <w:rsid w:val="0049685A"/>
    <w:rsid w:val="004A0DFA"/>
    <w:rsid w:val="004A0E83"/>
    <w:rsid w:val="004A14C8"/>
    <w:rsid w:val="004A1D77"/>
    <w:rsid w:val="004A3881"/>
    <w:rsid w:val="004A3DA2"/>
    <w:rsid w:val="004A3E9D"/>
    <w:rsid w:val="004A455F"/>
    <w:rsid w:val="004A52E0"/>
    <w:rsid w:val="004A5509"/>
    <w:rsid w:val="004A55F1"/>
    <w:rsid w:val="004A5B9E"/>
    <w:rsid w:val="004A6328"/>
    <w:rsid w:val="004A70FF"/>
    <w:rsid w:val="004A7580"/>
    <w:rsid w:val="004A7831"/>
    <w:rsid w:val="004B1348"/>
    <w:rsid w:val="004B18ED"/>
    <w:rsid w:val="004B1A14"/>
    <w:rsid w:val="004B219C"/>
    <w:rsid w:val="004B2A96"/>
    <w:rsid w:val="004B3DCE"/>
    <w:rsid w:val="004B3EEA"/>
    <w:rsid w:val="004B409B"/>
    <w:rsid w:val="004B4958"/>
    <w:rsid w:val="004B5874"/>
    <w:rsid w:val="004B598E"/>
    <w:rsid w:val="004B7733"/>
    <w:rsid w:val="004B79BA"/>
    <w:rsid w:val="004B7A24"/>
    <w:rsid w:val="004B7B20"/>
    <w:rsid w:val="004B7C02"/>
    <w:rsid w:val="004C0508"/>
    <w:rsid w:val="004C0549"/>
    <w:rsid w:val="004C0FF1"/>
    <w:rsid w:val="004C128E"/>
    <w:rsid w:val="004C1433"/>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A11"/>
    <w:rsid w:val="004D3ECA"/>
    <w:rsid w:val="004D5324"/>
    <w:rsid w:val="004D60BB"/>
    <w:rsid w:val="004D63DA"/>
    <w:rsid w:val="004D6C82"/>
    <w:rsid w:val="004D6CDE"/>
    <w:rsid w:val="004D6D99"/>
    <w:rsid w:val="004D7341"/>
    <w:rsid w:val="004D7369"/>
    <w:rsid w:val="004D7786"/>
    <w:rsid w:val="004E083C"/>
    <w:rsid w:val="004E1144"/>
    <w:rsid w:val="004E2763"/>
    <w:rsid w:val="004E4E00"/>
    <w:rsid w:val="004E4EC1"/>
    <w:rsid w:val="004E4F4C"/>
    <w:rsid w:val="004E4FEB"/>
    <w:rsid w:val="004E59BD"/>
    <w:rsid w:val="004E5DF0"/>
    <w:rsid w:val="004E5F38"/>
    <w:rsid w:val="004E7E2F"/>
    <w:rsid w:val="004F1F44"/>
    <w:rsid w:val="004F2138"/>
    <w:rsid w:val="004F3705"/>
    <w:rsid w:val="004F43F1"/>
    <w:rsid w:val="004F5D2F"/>
    <w:rsid w:val="004F694A"/>
    <w:rsid w:val="004F6CA9"/>
    <w:rsid w:val="004F6D59"/>
    <w:rsid w:val="004F7218"/>
    <w:rsid w:val="005007A6"/>
    <w:rsid w:val="00501082"/>
    <w:rsid w:val="005014D2"/>
    <w:rsid w:val="00502AEC"/>
    <w:rsid w:val="005038A3"/>
    <w:rsid w:val="00503D37"/>
    <w:rsid w:val="00504269"/>
    <w:rsid w:val="005042EA"/>
    <w:rsid w:val="00504644"/>
    <w:rsid w:val="005108DF"/>
    <w:rsid w:val="00511AF0"/>
    <w:rsid w:val="00511CFE"/>
    <w:rsid w:val="0051420A"/>
    <w:rsid w:val="00514C4F"/>
    <w:rsid w:val="00514D4F"/>
    <w:rsid w:val="00514E14"/>
    <w:rsid w:val="00517E70"/>
    <w:rsid w:val="0052167E"/>
    <w:rsid w:val="00522002"/>
    <w:rsid w:val="005232E3"/>
    <w:rsid w:val="00524D76"/>
    <w:rsid w:val="00527E17"/>
    <w:rsid w:val="005305CB"/>
    <w:rsid w:val="00530CB6"/>
    <w:rsid w:val="00531170"/>
    <w:rsid w:val="00534A72"/>
    <w:rsid w:val="00535513"/>
    <w:rsid w:val="00537398"/>
    <w:rsid w:val="00537F95"/>
    <w:rsid w:val="005413A9"/>
    <w:rsid w:val="00541927"/>
    <w:rsid w:val="00542065"/>
    <w:rsid w:val="005429B9"/>
    <w:rsid w:val="00542A99"/>
    <w:rsid w:val="0054361D"/>
    <w:rsid w:val="00543D62"/>
    <w:rsid w:val="00544103"/>
    <w:rsid w:val="005448CB"/>
    <w:rsid w:val="005468A0"/>
    <w:rsid w:val="00547A17"/>
    <w:rsid w:val="0055035D"/>
    <w:rsid w:val="00550A08"/>
    <w:rsid w:val="00551AFE"/>
    <w:rsid w:val="00551DB5"/>
    <w:rsid w:val="00552176"/>
    <w:rsid w:val="00552947"/>
    <w:rsid w:val="00555413"/>
    <w:rsid w:val="005554D0"/>
    <w:rsid w:val="0055612E"/>
    <w:rsid w:val="00556D73"/>
    <w:rsid w:val="00560BBA"/>
    <w:rsid w:val="0056157D"/>
    <w:rsid w:val="00563B26"/>
    <w:rsid w:val="00564762"/>
    <w:rsid w:val="00564A4B"/>
    <w:rsid w:val="00565B0B"/>
    <w:rsid w:val="00566453"/>
    <w:rsid w:val="00566B5E"/>
    <w:rsid w:val="00567A39"/>
    <w:rsid w:val="00567B68"/>
    <w:rsid w:val="00572B74"/>
    <w:rsid w:val="00573C97"/>
    <w:rsid w:val="005751A5"/>
    <w:rsid w:val="00575272"/>
    <w:rsid w:val="00580A0C"/>
    <w:rsid w:val="00583C91"/>
    <w:rsid w:val="00583DE4"/>
    <w:rsid w:val="00584E16"/>
    <w:rsid w:val="00584F30"/>
    <w:rsid w:val="00585683"/>
    <w:rsid w:val="00586086"/>
    <w:rsid w:val="00586D87"/>
    <w:rsid w:val="005872CD"/>
    <w:rsid w:val="005878D0"/>
    <w:rsid w:val="00590AA2"/>
    <w:rsid w:val="00590BFD"/>
    <w:rsid w:val="00591AAE"/>
    <w:rsid w:val="00592CDF"/>
    <w:rsid w:val="00593385"/>
    <w:rsid w:val="0059439E"/>
    <w:rsid w:val="00596777"/>
    <w:rsid w:val="00596CF7"/>
    <w:rsid w:val="00596F46"/>
    <w:rsid w:val="005A01E8"/>
    <w:rsid w:val="005A03AA"/>
    <w:rsid w:val="005A0BE1"/>
    <w:rsid w:val="005A0E58"/>
    <w:rsid w:val="005A2466"/>
    <w:rsid w:val="005A2D96"/>
    <w:rsid w:val="005A32D5"/>
    <w:rsid w:val="005A46F0"/>
    <w:rsid w:val="005A5C7E"/>
    <w:rsid w:val="005A6A96"/>
    <w:rsid w:val="005A7435"/>
    <w:rsid w:val="005A79CC"/>
    <w:rsid w:val="005A7F56"/>
    <w:rsid w:val="005B0E18"/>
    <w:rsid w:val="005B30F0"/>
    <w:rsid w:val="005B4042"/>
    <w:rsid w:val="005B548D"/>
    <w:rsid w:val="005B5683"/>
    <w:rsid w:val="005B5AC2"/>
    <w:rsid w:val="005B68BB"/>
    <w:rsid w:val="005B7811"/>
    <w:rsid w:val="005B7D0D"/>
    <w:rsid w:val="005C0440"/>
    <w:rsid w:val="005C0958"/>
    <w:rsid w:val="005C107A"/>
    <w:rsid w:val="005C134F"/>
    <w:rsid w:val="005C2C14"/>
    <w:rsid w:val="005C31B7"/>
    <w:rsid w:val="005C41B6"/>
    <w:rsid w:val="005C4618"/>
    <w:rsid w:val="005C5AA8"/>
    <w:rsid w:val="005C6E66"/>
    <w:rsid w:val="005C7687"/>
    <w:rsid w:val="005D1483"/>
    <w:rsid w:val="005D3D1C"/>
    <w:rsid w:val="005D432B"/>
    <w:rsid w:val="005D5368"/>
    <w:rsid w:val="005D5C1D"/>
    <w:rsid w:val="005D61B5"/>
    <w:rsid w:val="005D635F"/>
    <w:rsid w:val="005D6A63"/>
    <w:rsid w:val="005E033C"/>
    <w:rsid w:val="005E2869"/>
    <w:rsid w:val="005E306E"/>
    <w:rsid w:val="005E389E"/>
    <w:rsid w:val="005E4E21"/>
    <w:rsid w:val="005E7770"/>
    <w:rsid w:val="005F0982"/>
    <w:rsid w:val="005F0C64"/>
    <w:rsid w:val="005F0CB2"/>
    <w:rsid w:val="005F0E51"/>
    <w:rsid w:val="005F0F3A"/>
    <w:rsid w:val="005F1460"/>
    <w:rsid w:val="005F2B90"/>
    <w:rsid w:val="005F4013"/>
    <w:rsid w:val="005F4182"/>
    <w:rsid w:val="005F47DF"/>
    <w:rsid w:val="005F5207"/>
    <w:rsid w:val="005F5ECD"/>
    <w:rsid w:val="005F6BC5"/>
    <w:rsid w:val="005F72DE"/>
    <w:rsid w:val="005F735A"/>
    <w:rsid w:val="005F752A"/>
    <w:rsid w:val="006002C8"/>
    <w:rsid w:val="00603F42"/>
    <w:rsid w:val="0060471E"/>
    <w:rsid w:val="006048D6"/>
    <w:rsid w:val="00606967"/>
    <w:rsid w:val="00607389"/>
    <w:rsid w:val="0060746E"/>
    <w:rsid w:val="00610ADC"/>
    <w:rsid w:val="00610F7D"/>
    <w:rsid w:val="00611F8B"/>
    <w:rsid w:val="0061215F"/>
    <w:rsid w:val="006127D6"/>
    <w:rsid w:val="00612CAA"/>
    <w:rsid w:val="006138BD"/>
    <w:rsid w:val="0061474B"/>
    <w:rsid w:val="0061588B"/>
    <w:rsid w:val="00615A81"/>
    <w:rsid w:val="0061735D"/>
    <w:rsid w:val="00620003"/>
    <w:rsid w:val="0062034C"/>
    <w:rsid w:val="00620429"/>
    <w:rsid w:val="0062120D"/>
    <w:rsid w:val="00622A78"/>
    <w:rsid w:val="00624436"/>
    <w:rsid w:val="00624732"/>
    <w:rsid w:val="00625D52"/>
    <w:rsid w:val="0062659C"/>
    <w:rsid w:val="0062692B"/>
    <w:rsid w:val="00626C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40FC5"/>
    <w:rsid w:val="0064153A"/>
    <w:rsid w:val="00641DC3"/>
    <w:rsid w:val="00642AE2"/>
    <w:rsid w:val="0064328B"/>
    <w:rsid w:val="00643EC5"/>
    <w:rsid w:val="00645556"/>
    <w:rsid w:val="00646332"/>
    <w:rsid w:val="00646544"/>
    <w:rsid w:val="00646F26"/>
    <w:rsid w:val="00647DCC"/>
    <w:rsid w:val="00650B6C"/>
    <w:rsid w:val="006510E6"/>
    <w:rsid w:val="00651272"/>
    <w:rsid w:val="00651AC8"/>
    <w:rsid w:val="006529AA"/>
    <w:rsid w:val="00653617"/>
    <w:rsid w:val="0065389C"/>
    <w:rsid w:val="006556CC"/>
    <w:rsid w:val="0065611B"/>
    <w:rsid w:val="006571BA"/>
    <w:rsid w:val="006609AE"/>
    <w:rsid w:val="00661045"/>
    <w:rsid w:val="00662CC2"/>
    <w:rsid w:val="00664009"/>
    <w:rsid w:val="00664F6D"/>
    <w:rsid w:val="00665184"/>
    <w:rsid w:val="00665A04"/>
    <w:rsid w:val="00665AD9"/>
    <w:rsid w:val="00665CD4"/>
    <w:rsid w:val="00665D15"/>
    <w:rsid w:val="00666335"/>
    <w:rsid w:val="006667C7"/>
    <w:rsid w:val="006677F8"/>
    <w:rsid w:val="00671980"/>
    <w:rsid w:val="00671D57"/>
    <w:rsid w:val="00672056"/>
    <w:rsid w:val="0067240C"/>
    <w:rsid w:val="00672B14"/>
    <w:rsid w:val="00672B22"/>
    <w:rsid w:val="00672E6D"/>
    <w:rsid w:val="00673F41"/>
    <w:rsid w:val="00674118"/>
    <w:rsid w:val="00674BD6"/>
    <w:rsid w:val="0067507F"/>
    <w:rsid w:val="006753EB"/>
    <w:rsid w:val="0067705C"/>
    <w:rsid w:val="00680AE3"/>
    <w:rsid w:val="00681D26"/>
    <w:rsid w:val="00681ED6"/>
    <w:rsid w:val="00682CD7"/>
    <w:rsid w:val="00683829"/>
    <w:rsid w:val="00684328"/>
    <w:rsid w:val="0068460F"/>
    <w:rsid w:val="00684C12"/>
    <w:rsid w:val="00685575"/>
    <w:rsid w:val="00685795"/>
    <w:rsid w:val="00687A01"/>
    <w:rsid w:val="00687B1C"/>
    <w:rsid w:val="00690047"/>
    <w:rsid w:val="0069073D"/>
    <w:rsid w:val="00690CE5"/>
    <w:rsid w:val="00691715"/>
    <w:rsid w:val="00691828"/>
    <w:rsid w:val="00691B95"/>
    <w:rsid w:val="00692FF9"/>
    <w:rsid w:val="006934BB"/>
    <w:rsid w:val="00694724"/>
    <w:rsid w:val="00694C06"/>
    <w:rsid w:val="00694D5F"/>
    <w:rsid w:val="00695884"/>
    <w:rsid w:val="00695F22"/>
    <w:rsid w:val="00696F68"/>
    <w:rsid w:val="00697231"/>
    <w:rsid w:val="006974C7"/>
    <w:rsid w:val="00697648"/>
    <w:rsid w:val="006A018C"/>
    <w:rsid w:val="006A059B"/>
    <w:rsid w:val="006A06FA"/>
    <w:rsid w:val="006A08D5"/>
    <w:rsid w:val="006A48C4"/>
    <w:rsid w:val="006A4F6E"/>
    <w:rsid w:val="006A50C4"/>
    <w:rsid w:val="006A581F"/>
    <w:rsid w:val="006A7506"/>
    <w:rsid w:val="006B3AE9"/>
    <w:rsid w:val="006B3DA1"/>
    <w:rsid w:val="006B49C8"/>
    <w:rsid w:val="006B5C3B"/>
    <w:rsid w:val="006B60BD"/>
    <w:rsid w:val="006B7ADC"/>
    <w:rsid w:val="006C0251"/>
    <w:rsid w:val="006C0D97"/>
    <w:rsid w:val="006C0E93"/>
    <w:rsid w:val="006C0FD4"/>
    <w:rsid w:val="006C12CE"/>
    <w:rsid w:val="006C1BAA"/>
    <w:rsid w:val="006C1F04"/>
    <w:rsid w:val="006C20F7"/>
    <w:rsid w:val="006C2789"/>
    <w:rsid w:val="006C3121"/>
    <w:rsid w:val="006C3432"/>
    <w:rsid w:val="006C351D"/>
    <w:rsid w:val="006C3856"/>
    <w:rsid w:val="006C6DA4"/>
    <w:rsid w:val="006C7C9D"/>
    <w:rsid w:val="006D1E4A"/>
    <w:rsid w:val="006D2994"/>
    <w:rsid w:val="006D2B4E"/>
    <w:rsid w:val="006D2BAB"/>
    <w:rsid w:val="006D3072"/>
    <w:rsid w:val="006D3B26"/>
    <w:rsid w:val="006D3FEC"/>
    <w:rsid w:val="006D48CC"/>
    <w:rsid w:val="006D537D"/>
    <w:rsid w:val="006D550F"/>
    <w:rsid w:val="006D70B6"/>
    <w:rsid w:val="006D7E36"/>
    <w:rsid w:val="006E215E"/>
    <w:rsid w:val="006E2369"/>
    <w:rsid w:val="006E2414"/>
    <w:rsid w:val="006E47FE"/>
    <w:rsid w:val="006E5038"/>
    <w:rsid w:val="006E5398"/>
    <w:rsid w:val="006E5A60"/>
    <w:rsid w:val="006E6BB0"/>
    <w:rsid w:val="006E6C39"/>
    <w:rsid w:val="006E6F4D"/>
    <w:rsid w:val="006E76EF"/>
    <w:rsid w:val="006E7F5E"/>
    <w:rsid w:val="006F0A3D"/>
    <w:rsid w:val="006F15C2"/>
    <w:rsid w:val="006F2AAB"/>
    <w:rsid w:val="006F2C9A"/>
    <w:rsid w:val="006F3190"/>
    <w:rsid w:val="006F3DF2"/>
    <w:rsid w:val="006F41DC"/>
    <w:rsid w:val="006F4374"/>
    <w:rsid w:val="006F521E"/>
    <w:rsid w:val="006F546A"/>
    <w:rsid w:val="006F5DF6"/>
    <w:rsid w:val="006F6341"/>
    <w:rsid w:val="006F67CA"/>
    <w:rsid w:val="006F7451"/>
    <w:rsid w:val="006F7E74"/>
    <w:rsid w:val="0070085F"/>
    <w:rsid w:val="00701AB9"/>
    <w:rsid w:val="00702A25"/>
    <w:rsid w:val="00703E59"/>
    <w:rsid w:val="00705B96"/>
    <w:rsid w:val="00706BAE"/>
    <w:rsid w:val="0070704F"/>
    <w:rsid w:val="00707A06"/>
    <w:rsid w:val="0071066B"/>
    <w:rsid w:val="00710E95"/>
    <w:rsid w:val="00711531"/>
    <w:rsid w:val="00712458"/>
    <w:rsid w:val="0071286C"/>
    <w:rsid w:val="00712943"/>
    <w:rsid w:val="00712976"/>
    <w:rsid w:val="00712F23"/>
    <w:rsid w:val="00714F7B"/>
    <w:rsid w:val="00716458"/>
    <w:rsid w:val="00716A7A"/>
    <w:rsid w:val="00716DCF"/>
    <w:rsid w:val="00717584"/>
    <w:rsid w:val="00717751"/>
    <w:rsid w:val="0072086D"/>
    <w:rsid w:val="00722137"/>
    <w:rsid w:val="00722AD7"/>
    <w:rsid w:val="00722FB1"/>
    <w:rsid w:val="00723C33"/>
    <w:rsid w:val="00723DA6"/>
    <w:rsid w:val="00723F2E"/>
    <w:rsid w:val="00727405"/>
    <w:rsid w:val="00730486"/>
    <w:rsid w:val="00730976"/>
    <w:rsid w:val="0073197D"/>
    <w:rsid w:val="00732A98"/>
    <w:rsid w:val="00734632"/>
    <w:rsid w:val="00734E4E"/>
    <w:rsid w:val="007356B0"/>
    <w:rsid w:val="00737A0D"/>
    <w:rsid w:val="0074202A"/>
    <w:rsid w:val="00742414"/>
    <w:rsid w:val="00742D9D"/>
    <w:rsid w:val="00742E9F"/>
    <w:rsid w:val="00743328"/>
    <w:rsid w:val="00743D5B"/>
    <w:rsid w:val="00745584"/>
    <w:rsid w:val="00745747"/>
    <w:rsid w:val="00745CD1"/>
    <w:rsid w:val="007460AB"/>
    <w:rsid w:val="00746756"/>
    <w:rsid w:val="00747292"/>
    <w:rsid w:val="0074798C"/>
    <w:rsid w:val="00750F1E"/>
    <w:rsid w:val="00751F01"/>
    <w:rsid w:val="007520F9"/>
    <w:rsid w:val="00752949"/>
    <w:rsid w:val="00755FC4"/>
    <w:rsid w:val="00755FDA"/>
    <w:rsid w:val="0076001D"/>
    <w:rsid w:val="00760FF1"/>
    <w:rsid w:val="007629A2"/>
    <w:rsid w:val="00762BBE"/>
    <w:rsid w:val="00762E2B"/>
    <w:rsid w:val="00763AE8"/>
    <w:rsid w:val="007640B7"/>
    <w:rsid w:val="00765025"/>
    <w:rsid w:val="00770EE8"/>
    <w:rsid w:val="00771B5B"/>
    <w:rsid w:val="007743EC"/>
    <w:rsid w:val="00775B73"/>
    <w:rsid w:val="007765A6"/>
    <w:rsid w:val="00780C4B"/>
    <w:rsid w:val="00781105"/>
    <w:rsid w:val="00781693"/>
    <w:rsid w:val="00782255"/>
    <w:rsid w:val="00782D08"/>
    <w:rsid w:val="00782DD4"/>
    <w:rsid w:val="0078394B"/>
    <w:rsid w:val="00783F66"/>
    <w:rsid w:val="00784A3C"/>
    <w:rsid w:val="00785C33"/>
    <w:rsid w:val="007865FF"/>
    <w:rsid w:val="00787071"/>
    <w:rsid w:val="00787D44"/>
    <w:rsid w:val="00790426"/>
    <w:rsid w:val="007922FD"/>
    <w:rsid w:val="00793D26"/>
    <w:rsid w:val="00794C15"/>
    <w:rsid w:val="00794D31"/>
    <w:rsid w:val="00794D43"/>
    <w:rsid w:val="00795774"/>
    <w:rsid w:val="00796957"/>
    <w:rsid w:val="00797402"/>
    <w:rsid w:val="0079785B"/>
    <w:rsid w:val="007A04CC"/>
    <w:rsid w:val="007A0761"/>
    <w:rsid w:val="007A0991"/>
    <w:rsid w:val="007A20EB"/>
    <w:rsid w:val="007A215F"/>
    <w:rsid w:val="007A537F"/>
    <w:rsid w:val="007A56ED"/>
    <w:rsid w:val="007A6D2A"/>
    <w:rsid w:val="007A70BD"/>
    <w:rsid w:val="007A748C"/>
    <w:rsid w:val="007A7E04"/>
    <w:rsid w:val="007B0034"/>
    <w:rsid w:val="007B17E7"/>
    <w:rsid w:val="007B2AAA"/>
    <w:rsid w:val="007B30F6"/>
    <w:rsid w:val="007B33D8"/>
    <w:rsid w:val="007B43C0"/>
    <w:rsid w:val="007B4596"/>
    <w:rsid w:val="007B4FE5"/>
    <w:rsid w:val="007B5788"/>
    <w:rsid w:val="007B6523"/>
    <w:rsid w:val="007B74DA"/>
    <w:rsid w:val="007B74EA"/>
    <w:rsid w:val="007B75BD"/>
    <w:rsid w:val="007B7F4C"/>
    <w:rsid w:val="007C04FB"/>
    <w:rsid w:val="007C0563"/>
    <w:rsid w:val="007C070F"/>
    <w:rsid w:val="007C250B"/>
    <w:rsid w:val="007C2545"/>
    <w:rsid w:val="007C255A"/>
    <w:rsid w:val="007C3497"/>
    <w:rsid w:val="007C4778"/>
    <w:rsid w:val="007C4865"/>
    <w:rsid w:val="007C5ED8"/>
    <w:rsid w:val="007C6984"/>
    <w:rsid w:val="007C729E"/>
    <w:rsid w:val="007C7857"/>
    <w:rsid w:val="007D00A3"/>
    <w:rsid w:val="007D0EEF"/>
    <w:rsid w:val="007D2021"/>
    <w:rsid w:val="007D415A"/>
    <w:rsid w:val="007D46A2"/>
    <w:rsid w:val="007D5584"/>
    <w:rsid w:val="007D5811"/>
    <w:rsid w:val="007D5B11"/>
    <w:rsid w:val="007D64FE"/>
    <w:rsid w:val="007D72BB"/>
    <w:rsid w:val="007E0A84"/>
    <w:rsid w:val="007E1B66"/>
    <w:rsid w:val="007E1D9A"/>
    <w:rsid w:val="007E236F"/>
    <w:rsid w:val="007E3192"/>
    <w:rsid w:val="007E4441"/>
    <w:rsid w:val="007E5493"/>
    <w:rsid w:val="007E59BA"/>
    <w:rsid w:val="007E6150"/>
    <w:rsid w:val="007E6E94"/>
    <w:rsid w:val="007E6F70"/>
    <w:rsid w:val="007E7255"/>
    <w:rsid w:val="007E7880"/>
    <w:rsid w:val="007F0663"/>
    <w:rsid w:val="007F2107"/>
    <w:rsid w:val="007F2813"/>
    <w:rsid w:val="007F2946"/>
    <w:rsid w:val="007F2EBD"/>
    <w:rsid w:val="007F3E66"/>
    <w:rsid w:val="007F613C"/>
    <w:rsid w:val="007F642F"/>
    <w:rsid w:val="007F6C6E"/>
    <w:rsid w:val="007F6FED"/>
    <w:rsid w:val="007F7361"/>
    <w:rsid w:val="007F780B"/>
    <w:rsid w:val="00800D47"/>
    <w:rsid w:val="00800EB6"/>
    <w:rsid w:val="00801229"/>
    <w:rsid w:val="00801287"/>
    <w:rsid w:val="008013EB"/>
    <w:rsid w:val="00801A24"/>
    <w:rsid w:val="00801E15"/>
    <w:rsid w:val="00801F33"/>
    <w:rsid w:val="008030E3"/>
    <w:rsid w:val="00805D44"/>
    <w:rsid w:val="00805E46"/>
    <w:rsid w:val="0080684B"/>
    <w:rsid w:val="00806B35"/>
    <w:rsid w:val="00810D9E"/>
    <w:rsid w:val="008116DE"/>
    <w:rsid w:val="0081173F"/>
    <w:rsid w:val="00811C85"/>
    <w:rsid w:val="0081299C"/>
    <w:rsid w:val="00812F12"/>
    <w:rsid w:val="00813095"/>
    <w:rsid w:val="00813C1A"/>
    <w:rsid w:val="00813CF2"/>
    <w:rsid w:val="0081510A"/>
    <w:rsid w:val="00815530"/>
    <w:rsid w:val="00817FE0"/>
    <w:rsid w:val="008206DE"/>
    <w:rsid w:val="00821566"/>
    <w:rsid w:val="0082537E"/>
    <w:rsid w:val="00825964"/>
    <w:rsid w:val="0082689C"/>
    <w:rsid w:val="008268E9"/>
    <w:rsid w:val="00826B20"/>
    <w:rsid w:val="00827BD5"/>
    <w:rsid w:val="00827F3D"/>
    <w:rsid w:val="00830118"/>
    <w:rsid w:val="00831676"/>
    <w:rsid w:val="00832021"/>
    <w:rsid w:val="0083209F"/>
    <w:rsid w:val="008331AA"/>
    <w:rsid w:val="00833C47"/>
    <w:rsid w:val="008341DD"/>
    <w:rsid w:val="00834A90"/>
    <w:rsid w:val="00834AB6"/>
    <w:rsid w:val="00835E86"/>
    <w:rsid w:val="008374C9"/>
    <w:rsid w:val="00837C75"/>
    <w:rsid w:val="008419D4"/>
    <w:rsid w:val="00842B1C"/>
    <w:rsid w:val="00842B3D"/>
    <w:rsid w:val="0084376F"/>
    <w:rsid w:val="00843D20"/>
    <w:rsid w:val="0084650E"/>
    <w:rsid w:val="00846F28"/>
    <w:rsid w:val="00847E18"/>
    <w:rsid w:val="0085000E"/>
    <w:rsid w:val="0085151B"/>
    <w:rsid w:val="00851643"/>
    <w:rsid w:val="00851963"/>
    <w:rsid w:val="00851B8B"/>
    <w:rsid w:val="0085229C"/>
    <w:rsid w:val="00852542"/>
    <w:rsid w:val="00852833"/>
    <w:rsid w:val="00852B91"/>
    <w:rsid w:val="008537A0"/>
    <w:rsid w:val="00853BB8"/>
    <w:rsid w:val="0085405D"/>
    <w:rsid w:val="0085454A"/>
    <w:rsid w:val="00854C5A"/>
    <w:rsid w:val="008556BE"/>
    <w:rsid w:val="00855819"/>
    <w:rsid w:val="00855B7D"/>
    <w:rsid w:val="0085705E"/>
    <w:rsid w:val="00857BAD"/>
    <w:rsid w:val="00857E93"/>
    <w:rsid w:val="0086014B"/>
    <w:rsid w:val="008606DB"/>
    <w:rsid w:val="008618EC"/>
    <w:rsid w:val="008620B6"/>
    <w:rsid w:val="008634D9"/>
    <w:rsid w:val="00863EA3"/>
    <w:rsid w:val="00864C6A"/>
    <w:rsid w:val="0086508C"/>
    <w:rsid w:val="00866CEF"/>
    <w:rsid w:val="00866D78"/>
    <w:rsid w:val="00866E6B"/>
    <w:rsid w:val="0087039F"/>
    <w:rsid w:val="00870573"/>
    <w:rsid w:val="00870C8C"/>
    <w:rsid w:val="00871209"/>
    <w:rsid w:val="0087123D"/>
    <w:rsid w:val="0087124D"/>
    <w:rsid w:val="008714CC"/>
    <w:rsid w:val="008717C5"/>
    <w:rsid w:val="00871CBC"/>
    <w:rsid w:val="0087200E"/>
    <w:rsid w:val="00873767"/>
    <w:rsid w:val="00874DC1"/>
    <w:rsid w:val="00875A10"/>
    <w:rsid w:val="008764DD"/>
    <w:rsid w:val="00876958"/>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90709"/>
    <w:rsid w:val="00890E9D"/>
    <w:rsid w:val="00891BC6"/>
    <w:rsid w:val="0089387D"/>
    <w:rsid w:val="008938D0"/>
    <w:rsid w:val="00893CA9"/>
    <w:rsid w:val="00893F32"/>
    <w:rsid w:val="00893F9F"/>
    <w:rsid w:val="0089460E"/>
    <w:rsid w:val="0089471A"/>
    <w:rsid w:val="00895588"/>
    <w:rsid w:val="00896066"/>
    <w:rsid w:val="00896922"/>
    <w:rsid w:val="0089699E"/>
    <w:rsid w:val="00896B5B"/>
    <w:rsid w:val="008974C9"/>
    <w:rsid w:val="008A05EB"/>
    <w:rsid w:val="008A19C3"/>
    <w:rsid w:val="008A2A3E"/>
    <w:rsid w:val="008A2B9A"/>
    <w:rsid w:val="008A32C8"/>
    <w:rsid w:val="008A37A0"/>
    <w:rsid w:val="008A591D"/>
    <w:rsid w:val="008A6AAC"/>
    <w:rsid w:val="008A70CE"/>
    <w:rsid w:val="008B0212"/>
    <w:rsid w:val="008B1693"/>
    <w:rsid w:val="008B2F5B"/>
    <w:rsid w:val="008B46DF"/>
    <w:rsid w:val="008B545E"/>
    <w:rsid w:val="008B5BAA"/>
    <w:rsid w:val="008B6024"/>
    <w:rsid w:val="008B701D"/>
    <w:rsid w:val="008B754D"/>
    <w:rsid w:val="008B76AA"/>
    <w:rsid w:val="008C02DF"/>
    <w:rsid w:val="008C088E"/>
    <w:rsid w:val="008C1433"/>
    <w:rsid w:val="008C16EF"/>
    <w:rsid w:val="008C2456"/>
    <w:rsid w:val="008C25B0"/>
    <w:rsid w:val="008C2C39"/>
    <w:rsid w:val="008C3587"/>
    <w:rsid w:val="008C483C"/>
    <w:rsid w:val="008C49BC"/>
    <w:rsid w:val="008C5729"/>
    <w:rsid w:val="008C6569"/>
    <w:rsid w:val="008C68FF"/>
    <w:rsid w:val="008D13AD"/>
    <w:rsid w:val="008D3BCF"/>
    <w:rsid w:val="008D417C"/>
    <w:rsid w:val="008D4218"/>
    <w:rsid w:val="008D4943"/>
    <w:rsid w:val="008D6245"/>
    <w:rsid w:val="008D6428"/>
    <w:rsid w:val="008D7633"/>
    <w:rsid w:val="008D7716"/>
    <w:rsid w:val="008D7851"/>
    <w:rsid w:val="008E1A72"/>
    <w:rsid w:val="008E2128"/>
    <w:rsid w:val="008E24E8"/>
    <w:rsid w:val="008E2E03"/>
    <w:rsid w:val="008E323C"/>
    <w:rsid w:val="008E3461"/>
    <w:rsid w:val="008E3A2B"/>
    <w:rsid w:val="008E5ACF"/>
    <w:rsid w:val="008E62EE"/>
    <w:rsid w:val="008E698D"/>
    <w:rsid w:val="008E737F"/>
    <w:rsid w:val="008E7C0B"/>
    <w:rsid w:val="008E7E58"/>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1C3E"/>
    <w:rsid w:val="009026F4"/>
    <w:rsid w:val="00902DA0"/>
    <w:rsid w:val="00902FF7"/>
    <w:rsid w:val="00903B80"/>
    <w:rsid w:val="00905227"/>
    <w:rsid w:val="00906260"/>
    <w:rsid w:val="009064E5"/>
    <w:rsid w:val="00906A7C"/>
    <w:rsid w:val="00906BC1"/>
    <w:rsid w:val="00907AB6"/>
    <w:rsid w:val="00907F12"/>
    <w:rsid w:val="0091040E"/>
    <w:rsid w:val="009115CC"/>
    <w:rsid w:val="00911A4B"/>
    <w:rsid w:val="00912394"/>
    <w:rsid w:val="00912C15"/>
    <w:rsid w:val="009149C5"/>
    <w:rsid w:val="00915A59"/>
    <w:rsid w:val="00915E8A"/>
    <w:rsid w:val="00916223"/>
    <w:rsid w:val="00917824"/>
    <w:rsid w:val="00917CE8"/>
    <w:rsid w:val="00917D80"/>
    <w:rsid w:val="00920675"/>
    <w:rsid w:val="00920946"/>
    <w:rsid w:val="00920BC2"/>
    <w:rsid w:val="009210CE"/>
    <w:rsid w:val="0092113A"/>
    <w:rsid w:val="00921415"/>
    <w:rsid w:val="0092221A"/>
    <w:rsid w:val="00923379"/>
    <w:rsid w:val="009233E7"/>
    <w:rsid w:val="0092520A"/>
    <w:rsid w:val="00925367"/>
    <w:rsid w:val="00925592"/>
    <w:rsid w:val="00926B00"/>
    <w:rsid w:val="00926D4C"/>
    <w:rsid w:val="00927334"/>
    <w:rsid w:val="009276A7"/>
    <w:rsid w:val="0093128B"/>
    <w:rsid w:val="009326FC"/>
    <w:rsid w:val="009345F0"/>
    <w:rsid w:val="00934BB9"/>
    <w:rsid w:val="00934E6E"/>
    <w:rsid w:val="00935439"/>
    <w:rsid w:val="00935C2C"/>
    <w:rsid w:val="00936162"/>
    <w:rsid w:val="0093776C"/>
    <w:rsid w:val="00937AD7"/>
    <w:rsid w:val="009401AC"/>
    <w:rsid w:val="00940800"/>
    <w:rsid w:val="009415DC"/>
    <w:rsid w:val="00942239"/>
    <w:rsid w:val="0094287B"/>
    <w:rsid w:val="00942C3D"/>
    <w:rsid w:val="0094390D"/>
    <w:rsid w:val="00944172"/>
    <w:rsid w:val="00945492"/>
    <w:rsid w:val="0094564B"/>
    <w:rsid w:val="009462B0"/>
    <w:rsid w:val="00946AEE"/>
    <w:rsid w:val="00946B88"/>
    <w:rsid w:val="00947C65"/>
    <w:rsid w:val="00952B83"/>
    <w:rsid w:val="009537EA"/>
    <w:rsid w:val="00953C7D"/>
    <w:rsid w:val="00954361"/>
    <w:rsid w:val="00957042"/>
    <w:rsid w:val="0095705B"/>
    <w:rsid w:val="00960540"/>
    <w:rsid w:val="00962077"/>
    <w:rsid w:val="0096358B"/>
    <w:rsid w:val="00965290"/>
    <w:rsid w:val="0096542B"/>
    <w:rsid w:val="009656F1"/>
    <w:rsid w:val="00966373"/>
    <w:rsid w:val="0097026E"/>
    <w:rsid w:val="00970720"/>
    <w:rsid w:val="00970905"/>
    <w:rsid w:val="00970C06"/>
    <w:rsid w:val="00971B1D"/>
    <w:rsid w:val="009725FA"/>
    <w:rsid w:val="009732F3"/>
    <w:rsid w:val="00973A5E"/>
    <w:rsid w:val="00973F5D"/>
    <w:rsid w:val="009749D9"/>
    <w:rsid w:val="0097520B"/>
    <w:rsid w:val="00975BAA"/>
    <w:rsid w:val="00975BD0"/>
    <w:rsid w:val="00980386"/>
    <w:rsid w:val="00980718"/>
    <w:rsid w:val="00980BAE"/>
    <w:rsid w:val="009813F3"/>
    <w:rsid w:val="00982D59"/>
    <w:rsid w:val="009830D0"/>
    <w:rsid w:val="009833DE"/>
    <w:rsid w:val="00983453"/>
    <w:rsid w:val="009843B4"/>
    <w:rsid w:val="00985F9A"/>
    <w:rsid w:val="009861C1"/>
    <w:rsid w:val="009863AD"/>
    <w:rsid w:val="00986A90"/>
    <w:rsid w:val="00986C9C"/>
    <w:rsid w:val="009873EC"/>
    <w:rsid w:val="00987B99"/>
    <w:rsid w:val="009900D9"/>
    <w:rsid w:val="0099049A"/>
    <w:rsid w:val="00990E25"/>
    <w:rsid w:val="009924DD"/>
    <w:rsid w:val="00993205"/>
    <w:rsid w:val="00994097"/>
    <w:rsid w:val="009942F4"/>
    <w:rsid w:val="009945D4"/>
    <w:rsid w:val="009948AA"/>
    <w:rsid w:val="00995A29"/>
    <w:rsid w:val="00995EBE"/>
    <w:rsid w:val="00997C19"/>
    <w:rsid w:val="009A1130"/>
    <w:rsid w:val="009A163E"/>
    <w:rsid w:val="009A23C3"/>
    <w:rsid w:val="009A2B62"/>
    <w:rsid w:val="009A3116"/>
    <w:rsid w:val="009A46AD"/>
    <w:rsid w:val="009A47E6"/>
    <w:rsid w:val="009A48BA"/>
    <w:rsid w:val="009A52BB"/>
    <w:rsid w:val="009A5F55"/>
    <w:rsid w:val="009A6990"/>
    <w:rsid w:val="009A7444"/>
    <w:rsid w:val="009B01D7"/>
    <w:rsid w:val="009B120F"/>
    <w:rsid w:val="009B1F21"/>
    <w:rsid w:val="009B2AD4"/>
    <w:rsid w:val="009B2B71"/>
    <w:rsid w:val="009B3FA0"/>
    <w:rsid w:val="009B56F8"/>
    <w:rsid w:val="009B6BDF"/>
    <w:rsid w:val="009C0515"/>
    <w:rsid w:val="009C2DF1"/>
    <w:rsid w:val="009C364E"/>
    <w:rsid w:val="009C3BDF"/>
    <w:rsid w:val="009C3E48"/>
    <w:rsid w:val="009C5ED7"/>
    <w:rsid w:val="009C634C"/>
    <w:rsid w:val="009D0068"/>
    <w:rsid w:val="009D0D2F"/>
    <w:rsid w:val="009D10F0"/>
    <w:rsid w:val="009D17D9"/>
    <w:rsid w:val="009D656B"/>
    <w:rsid w:val="009D7454"/>
    <w:rsid w:val="009E0062"/>
    <w:rsid w:val="009E0262"/>
    <w:rsid w:val="009E0D5A"/>
    <w:rsid w:val="009E1267"/>
    <w:rsid w:val="009E13AF"/>
    <w:rsid w:val="009E150E"/>
    <w:rsid w:val="009E1B54"/>
    <w:rsid w:val="009E4A72"/>
    <w:rsid w:val="009E5436"/>
    <w:rsid w:val="009E59E7"/>
    <w:rsid w:val="009E5B62"/>
    <w:rsid w:val="009E6566"/>
    <w:rsid w:val="009E715D"/>
    <w:rsid w:val="009E7198"/>
    <w:rsid w:val="009F049A"/>
    <w:rsid w:val="009F109D"/>
    <w:rsid w:val="009F1613"/>
    <w:rsid w:val="009F190A"/>
    <w:rsid w:val="009F4616"/>
    <w:rsid w:val="009F4E45"/>
    <w:rsid w:val="009F5830"/>
    <w:rsid w:val="009F5F8B"/>
    <w:rsid w:val="00A0065A"/>
    <w:rsid w:val="00A00B6F"/>
    <w:rsid w:val="00A02671"/>
    <w:rsid w:val="00A044FE"/>
    <w:rsid w:val="00A05DD4"/>
    <w:rsid w:val="00A05DEB"/>
    <w:rsid w:val="00A06363"/>
    <w:rsid w:val="00A0694A"/>
    <w:rsid w:val="00A07CC7"/>
    <w:rsid w:val="00A1042E"/>
    <w:rsid w:val="00A107F4"/>
    <w:rsid w:val="00A1194C"/>
    <w:rsid w:val="00A11F97"/>
    <w:rsid w:val="00A1298E"/>
    <w:rsid w:val="00A12C1D"/>
    <w:rsid w:val="00A1454B"/>
    <w:rsid w:val="00A148C4"/>
    <w:rsid w:val="00A153D2"/>
    <w:rsid w:val="00A17396"/>
    <w:rsid w:val="00A173D2"/>
    <w:rsid w:val="00A175FC"/>
    <w:rsid w:val="00A17AA1"/>
    <w:rsid w:val="00A2135E"/>
    <w:rsid w:val="00A23A8E"/>
    <w:rsid w:val="00A23F6D"/>
    <w:rsid w:val="00A23F8C"/>
    <w:rsid w:val="00A248D5"/>
    <w:rsid w:val="00A25F6D"/>
    <w:rsid w:val="00A26A0F"/>
    <w:rsid w:val="00A271C7"/>
    <w:rsid w:val="00A27942"/>
    <w:rsid w:val="00A27B84"/>
    <w:rsid w:val="00A27EC6"/>
    <w:rsid w:val="00A30012"/>
    <w:rsid w:val="00A3018B"/>
    <w:rsid w:val="00A30DF5"/>
    <w:rsid w:val="00A317D1"/>
    <w:rsid w:val="00A31E70"/>
    <w:rsid w:val="00A32997"/>
    <w:rsid w:val="00A3315E"/>
    <w:rsid w:val="00A34074"/>
    <w:rsid w:val="00A36496"/>
    <w:rsid w:val="00A36B7E"/>
    <w:rsid w:val="00A378CB"/>
    <w:rsid w:val="00A405EC"/>
    <w:rsid w:val="00A418F1"/>
    <w:rsid w:val="00A41B90"/>
    <w:rsid w:val="00A42678"/>
    <w:rsid w:val="00A42898"/>
    <w:rsid w:val="00A428BF"/>
    <w:rsid w:val="00A430F1"/>
    <w:rsid w:val="00A44524"/>
    <w:rsid w:val="00A44825"/>
    <w:rsid w:val="00A44926"/>
    <w:rsid w:val="00A44E42"/>
    <w:rsid w:val="00A44F98"/>
    <w:rsid w:val="00A46FA5"/>
    <w:rsid w:val="00A479F3"/>
    <w:rsid w:val="00A47E5A"/>
    <w:rsid w:val="00A505F3"/>
    <w:rsid w:val="00A52F20"/>
    <w:rsid w:val="00A537EE"/>
    <w:rsid w:val="00A54241"/>
    <w:rsid w:val="00A55619"/>
    <w:rsid w:val="00A55BB6"/>
    <w:rsid w:val="00A55DAE"/>
    <w:rsid w:val="00A56CC6"/>
    <w:rsid w:val="00A575A8"/>
    <w:rsid w:val="00A60B60"/>
    <w:rsid w:val="00A627C7"/>
    <w:rsid w:val="00A6362D"/>
    <w:rsid w:val="00A64433"/>
    <w:rsid w:val="00A64611"/>
    <w:rsid w:val="00A65D90"/>
    <w:rsid w:val="00A66690"/>
    <w:rsid w:val="00A667E5"/>
    <w:rsid w:val="00A677EF"/>
    <w:rsid w:val="00A72F0C"/>
    <w:rsid w:val="00A730D3"/>
    <w:rsid w:val="00A74C83"/>
    <w:rsid w:val="00A74D7D"/>
    <w:rsid w:val="00A74EE9"/>
    <w:rsid w:val="00A753A8"/>
    <w:rsid w:val="00A803B3"/>
    <w:rsid w:val="00A80890"/>
    <w:rsid w:val="00A81057"/>
    <w:rsid w:val="00A819B7"/>
    <w:rsid w:val="00A82482"/>
    <w:rsid w:val="00A826E6"/>
    <w:rsid w:val="00A83736"/>
    <w:rsid w:val="00A8378C"/>
    <w:rsid w:val="00A87107"/>
    <w:rsid w:val="00A87598"/>
    <w:rsid w:val="00A87856"/>
    <w:rsid w:val="00A90023"/>
    <w:rsid w:val="00A9054C"/>
    <w:rsid w:val="00A90570"/>
    <w:rsid w:val="00A90978"/>
    <w:rsid w:val="00A910B2"/>
    <w:rsid w:val="00A92B9D"/>
    <w:rsid w:val="00A93204"/>
    <w:rsid w:val="00A93A7E"/>
    <w:rsid w:val="00A9405F"/>
    <w:rsid w:val="00A943F6"/>
    <w:rsid w:val="00A95C1A"/>
    <w:rsid w:val="00A9727E"/>
    <w:rsid w:val="00A973EF"/>
    <w:rsid w:val="00A97D80"/>
    <w:rsid w:val="00A97F2A"/>
    <w:rsid w:val="00AA0134"/>
    <w:rsid w:val="00AA0620"/>
    <w:rsid w:val="00AA1177"/>
    <w:rsid w:val="00AA187B"/>
    <w:rsid w:val="00AA2868"/>
    <w:rsid w:val="00AA3751"/>
    <w:rsid w:val="00AA4389"/>
    <w:rsid w:val="00AA443C"/>
    <w:rsid w:val="00AA489B"/>
    <w:rsid w:val="00AA557A"/>
    <w:rsid w:val="00AA7C9A"/>
    <w:rsid w:val="00AB0200"/>
    <w:rsid w:val="00AB07D4"/>
    <w:rsid w:val="00AB0E2B"/>
    <w:rsid w:val="00AB22E8"/>
    <w:rsid w:val="00AB2406"/>
    <w:rsid w:val="00AB3FE6"/>
    <w:rsid w:val="00AB44E7"/>
    <w:rsid w:val="00AB4860"/>
    <w:rsid w:val="00AB4A89"/>
    <w:rsid w:val="00AB6463"/>
    <w:rsid w:val="00AB68B9"/>
    <w:rsid w:val="00AB7C14"/>
    <w:rsid w:val="00AC13E4"/>
    <w:rsid w:val="00AC1B5E"/>
    <w:rsid w:val="00AC1F4A"/>
    <w:rsid w:val="00AC6197"/>
    <w:rsid w:val="00AC6409"/>
    <w:rsid w:val="00AC6B0E"/>
    <w:rsid w:val="00AD0748"/>
    <w:rsid w:val="00AD0BDF"/>
    <w:rsid w:val="00AD0C4C"/>
    <w:rsid w:val="00AD1521"/>
    <w:rsid w:val="00AD195F"/>
    <w:rsid w:val="00AD1D6A"/>
    <w:rsid w:val="00AD295C"/>
    <w:rsid w:val="00AD3E0F"/>
    <w:rsid w:val="00AD6A83"/>
    <w:rsid w:val="00AD7209"/>
    <w:rsid w:val="00AD7328"/>
    <w:rsid w:val="00AD735F"/>
    <w:rsid w:val="00AE01C6"/>
    <w:rsid w:val="00AE18D4"/>
    <w:rsid w:val="00AE3805"/>
    <w:rsid w:val="00AE3FC3"/>
    <w:rsid w:val="00AE45E3"/>
    <w:rsid w:val="00AE49B7"/>
    <w:rsid w:val="00AE54C1"/>
    <w:rsid w:val="00AE5B7A"/>
    <w:rsid w:val="00AE5DF5"/>
    <w:rsid w:val="00AE66E6"/>
    <w:rsid w:val="00AE7293"/>
    <w:rsid w:val="00AE72C3"/>
    <w:rsid w:val="00AE79BA"/>
    <w:rsid w:val="00AE7C17"/>
    <w:rsid w:val="00AF248E"/>
    <w:rsid w:val="00AF27D5"/>
    <w:rsid w:val="00AF2F91"/>
    <w:rsid w:val="00AF34F3"/>
    <w:rsid w:val="00AF3E13"/>
    <w:rsid w:val="00AF4AE9"/>
    <w:rsid w:val="00AF53EE"/>
    <w:rsid w:val="00AF56DF"/>
    <w:rsid w:val="00AF740B"/>
    <w:rsid w:val="00AF76F1"/>
    <w:rsid w:val="00AF790C"/>
    <w:rsid w:val="00AF7A45"/>
    <w:rsid w:val="00B010E6"/>
    <w:rsid w:val="00B01E6F"/>
    <w:rsid w:val="00B037F3"/>
    <w:rsid w:val="00B03916"/>
    <w:rsid w:val="00B03E03"/>
    <w:rsid w:val="00B03FBB"/>
    <w:rsid w:val="00B04178"/>
    <w:rsid w:val="00B0500F"/>
    <w:rsid w:val="00B06C09"/>
    <w:rsid w:val="00B07038"/>
    <w:rsid w:val="00B0727E"/>
    <w:rsid w:val="00B1098C"/>
    <w:rsid w:val="00B10C47"/>
    <w:rsid w:val="00B12026"/>
    <w:rsid w:val="00B13139"/>
    <w:rsid w:val="00B13324"/>
    <w:rsid w:val="00B1334B"/>
    <w:rsid w:val="00B140C4"/>
    <w:rsid w:val="00B151F8"/>
    <w:rsid w:val="00B169CE"/>
    <w:rsid w:val="00B16CC6"/>
    <w:rsid w:val="00B1721F"/>
    <w:rsid w:val="00B21AA7"/>
    <w:rsid w:val="00B220DB"/>
    <w:rsid w:val="00B2445C"/>
    <w:rsid w:val="00B251A9"/>
    <w:rsid w:val="00B269C0"/>
    <w:rsid w:val="00B26D60"/>
    <w:rsid w:val="00B300B6"/>
    <w:rsid w:val="00B312D0"/>
    <w:rsid w:val="00B315FC"/>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203"/>
    <w:rsid w:val="00B437B2"/>
    <w:rsid w:val="00B43B5B"/>
    <w:rsid w:val="00B43DA0"/>
    <w:rsid w:val="00B441A1"/>
    <w:rsid w:val="00B44899"/>
    <w:rsid w:val="00B44902"/>
    <w:rsid w:val="00B44E08"/>
    <w:rsid w:val="00B461FB"/>
    <w:rsid w:val="00B46CD4"/>
    <w:rsid w:val="00B50C6C"/>
    <w:rsid w:val="00B518AD"/>
    <w:rsid w:val="00B54948"/>
    <w:rsid w:val="00B54BC9"/>
    <w:rsid w:val="00B555C2"/>
    <w:rsid w:val="00B56A47"/>
    <w:rsid w:val="00B57056"/>
    <w:rsid w:val="00B57E61"/>
    <w:rsid w:val="00B62DAD"/>
    <w:rsid w:val="00B63042"/>
    <w:rsid w:val="00B634CC"/>
    <w:rsid w:val="00B634D5"/>
    <w:rsid w:val="00B63E29"/>
    <w:rsid w:val="00B63EE8"/>
    <w:rsid w:val="00B64142"/>
    <w:rsid w:val="00B64724"/>
    <w:rsid w:val="00B64AB6"/>
    <w:rsid w:val="00B6531B"/>
    <w:rsid w:val="00B662C5"/>
    <w:rsid w:val="00B66534"/>
    <w:rsid w:val="00B66F31"/>
    <w:rsid w:val="00B670EA"/>
    <w:rsid w:val="00B671B9"/>
    <w:rsid w:val="00B67927"/>
    <w:rsid w:val="00B70F3E"/>
    <w:rsid w:val="00B7181F"/>
    <w:rsid w:val="00B71848"/>
    <w:rsid w:val="00B7236E"/>
    <w:rsid w:val="00B725CC"/>
    <w:rsid w:val="00B73285"/>
    <w:rsid w:val="00B7365B"/>
    <w:rsid w:val="00B738C4"/>
    <w:rsid w:val="00B73F1E"/>
    <w:rsid w:val="00B74279"/>
    <w:rsid w:val="00B75BD7"/>
    <w:rsid w:val="00B76F54"/>
    <w:rsid w:val="00B773BC"/>
    <w:rsid w:val="00B7772B"/>
    <w:rsid w:val="00B7797A"/>
    <w:rsid w:val="00B80602"/>
    <w:rsid w:val="00B80FDB"/>
    <w:rsid w:val="00B81174"/>
    <w:rsid w:val="00B8187F"/>
    <w:rsid w:val="00B82758"/>
    <w:rsid w:val="00B8339A"/>
    <w:rsid w:val="00B83827"/>
    <w:rsid w:val="00B863F0"/>
    <w:rsid w:val="00B86E7B"/>
    <w:rsid w:val="00B9028D"/>
    <w:rsid w:val="00B90538"/>
    <w:rsid w:val="00B90CE7"/>
    <w:rsid w:val="00B9230D"/>
    <w:rsid w:val="00B92517"/>
    <w:rsid w:val="00B926AD"/>
    <w:rsid w:val="00B9303F"/>
    <w:rsid w:val="00B93878"/>
    <w:rsid w:val="00B938FD"/>
    <w:rsid w:val="00B9443F"/>
    <w:rsid w:val="00B94BA1"/>
    <w:rsid w:val="00B956F8"/>
    <w:rsid w:val="00B965C8"/>
    <w:rsid w:val="00B96667"/>
    <w:rsid w:val="00B97FAE"/>
    <w:rsid w:val="00BA04E0"/>
    <w:rsid w:val="00BA1DCE"/>
    <w:rsid w:val="00BA1DF9"/>
    <w:rsid w:val="00BA250D"/>
    <w:rsid w:val="00BA35BC"/>
    <w:rsid w:val="00BA3AAC"/>
    <w:rsid w:val="00BA5042"/>
    <w:rsid w:val="00BA6317"/>
    <w:rsid w:val="00BA67E3"/>
    <w:rsid w:val="00BA7D70"/>
    <w:rsid w:val="00BB0005"/>
    <w:rsid w:val="00BB0169"/>
    <w:rsid w:val="00BB0880"/>
    <w:rsid w:val="00BB0C33"/>
    <w:rsid w:val="00BB19DA"/>
    <w:rsid w:val="00BB25A4"/>
    <w:rsid w:val="00BB25BB"/>
    <w:rsid w:val="00BB25E1"/>
    <w:rsid w:val="00BB3640"/>
    <w:rsid w:val="00BB4830"/>
    <w:rsid w:val="00BB4D73"/>
    <w:rsid w:val="00BB5336"/>
    <w:rsid w:val="00BB5F9F"/>
    <w:rsid w:val="00BB7420"/>
    <w:rsid w:val="00BB76E2"/>
    <w:rsid w:val="00BB7A0C"/>
    <w:rsid w:val="00BC12D5"/>
    <w:rsid w:val="00BC1954"/>
    <w:rsid w:val="00BC321F"/>
    <w:rsid w:val="00BC34A6"/>
    <w:rsid w:val="00BC38D0"/>
    <w:rsid w:val="00BC3918"/>
    <w:rsid w:val="00BC3B73"/>
    <w:rsid w:val="00BC4B2A"/>
    <w:rsid w:val="00BC4EA1"/>
    <w:rsid w:val="00BC5EB0"/>
    <w:rsid w:val="00BC7ABC"/>
    <w:rsid w:val="00BD01CF"/>
    <w:rsid w:val="00BD0456"/>
    <w:rsid w:val="00BD1026"/>
    <w:rsid w:val="00BD25E6"/>
    <w:rsid w:val="00BD287B"/>
    <w:rsid w:val="00BD31AE"/>
    <w:rsid w:val="00BD3D66"/>
    <w:rsid w:val="00BD43ED"/>
    <w:rsid w:val="00BD45C5"/>
    <w:rsid w:val="00BD52E4"/>
    <w:rsid w:val="00BD71B9"/>
    <w:rsid w:val="00BD7583"/>
    <w:rsid w:val="00BD7B32"/>
    <w:rsid w:val="00BE0A37"/>
    <w:rsid w:val="00BE0E0B"/>
    <w:rsid w:val="00BE15D1"/>
    <w:rsid w:val="00BE1A94"/>
    <w:rsid w:val="00BE2DAB"/>
    <w:rsid w:val="00BE41B1"/>
    <w:rsid w:val="00BE488C"/>
    <w:rsid w:val="00BE4E9E"/>
    <w:rsid w:val="00BE52EE"/>
    <w:rsid w:val="00BE5C96"/>
    <w:rsid w:val="00BE69C6"/>
    <w:rsid w:val="00BE6A73"/>
    <w:rsid w:val="00BE75A9"/>
    <w:rsid w:val="00BE7EE6"/>
    <w:rsid w:val="00BF0474"/>
    <w:rsid w:val="00BF0896"/>
    <w:rsid w:val="00BF0B9E"/>
    <w:rsid w:val="00BF308E"/>
    <w:rsid w:val="00BF3796"/>
    <w:rsid w:val="00BF4134"/>
    <w:rsid w:val="00BF534E"/>
    <w:rsid w:val="00BF554B"/>
    <w:rsid w:val="00BF5D8E"/>
    <w:rsid w:val="00BF7503"/>
    <w:rsid w:val="00C01C0D"/>
    <w:rsid w:val="00C02FB0"/>
    <w:rsid w:val="00C030A1"/>
    <w:rsid w:val="00C03BDF"/>
    <w:rsid w:val="00C03FDE"/>
    <w:rsid w:val="00C06368"/>
    <w:rsid w:val="00C07E11"/>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3CB"/>
    <w:rsid w:val="00C2359B"/>
    <w:rsid w:val="00C23874"/>
    <w:rsid w:val="00C23EDC"/>
    <w:rsid w:val="00C242CB"/>
    <w:rsid w:val="00C25498"/>
    <w:rsid w:val="00C265F8"/>
    <w:rsid w:val="00C267FB"/>
    <w:rsid w:val="00C26CFE"/>
    <w:rsid w:val="00C27818"/>
    <w:rsid w:val="00C32194"/>
    <w:rsid w:val="00C32F6F"/>
    <w:rsid w:val="00C32FA7"/>
    <w:rsid w:val="00C351D5"/>
    <w:rsid w:val="00C36191"/>
    <w:rsid w:val="00C36B09"/>
    <w:rsid w:val="00C373DF"/>
    <w:rsid w:val="00C41954"/>
    <w:rsid w:val="00C41A6E"/>
    <w:rsid w:val="00C43198"/>
    <w:rsid w:val="00C439D3"/>
    <w:rsid w:val="00C43DF5"/>
    <w:rsid w:val="00C44042"/>
    <w:rsid w:val="00C440AC"/>
    <w:rsid w:val="00C44F3D"/>
    <w:rsid w:val="00C454E7"/>
    <w:rsid w:val="00C4686B"/>
    <w:rsid w:val="00C475D5"/>
    <w:rsid w:val="00C479AD"/>
    <w:rsid w:val="00C508F1"/>
    <w:rsid w:val="00C51F13"/>
    <w:rsid w:val="00C521BE"/>
    <w:rsid w:val="00C5365F"/>
    <w:rsid w:val="00C5367F"/>
    <w:rsid w:val="00C54D5A"/>
    <w:rsid w:val="00C54FCB"/>
    <w:rsid w:val="00C55CD3"/>
    <w:rsid w:val="00C579DC"/>
    <w:rsid w:val="00C60242"/>
    <w:rsid w:val="00C6079B"/>
    <w:rsid w:val="00C60E2D"/>
    <w:rsid w:val="00C62421"/>
    <w:rsid w:val="00C62B2F"/>
    <w:rsid w:val="00C62E52"/>
    <w:rsid w:val="00C650F9"/>
    <w:rsid w:val="00C66162"/>
    <w:rsid w:val="00C66BC0"/>
    <w:rsid w:val="00C67A14"/>
    <w:rsid w:val="00C70555"/>
    <w:rsid w:val="00C70929"/>
    <w:rsid w:val="00C72445"/>
    <w:rsid w:val="00C72858"/>
    <w:rsid w:val="00C73135"/>
    <w:rsid w:val="00C7384F"/>
    <w:rsid w:val="00C7392B"/>
    <w:rsid w:val="00C73FD7"/>
    <w:rsid w:val="00C74001"/>
    <w:rsid w:val="00C746DC"/>
    <w:rsid w:val="00C766AB"/>
    <w:rsid w:val="00C80139"/>
    <w:rsid w:val="00C807D1"/>
    <w:rsid w:val="00C80AC6"/>
    <w:rsid w:val="00C818D0"/>
    <w:rsid w:val="00C83F0D"/>
    <w:rsid w:val="00C84A51"/>
    <w:rsid w:val="00C85CE7"/>
    <w:rsid w:val="00C860E1"/>
    <w:rsid w:val="00C87853"/>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3BA"/>
    <w:rsid w:val="00C973F5"/>
    <w:rsid w:val="00C978BD"/>
    <w:rsid w:val="00C97F18"/>
    <w:rsid w:val="00CA00E4"/>
    <w:rsid w:val="00CA0534"/>
    <w:rsid w:val="00CA13AE"/>
    <w:rsid w:val="00CA4B91"/>
    <w:rsid w:val="00CA4EAB"/>
    <w:rsid w:val="00CA6A8D"/>
    <w:rsid w:val="00CB0D18"/>
    <w:rsid w:val="00CB29DD"/>
    <w:rsid w:val="00CB380A"/>
    <w:rsid w:val="00CB3BBD"/>
    <w:rsid w:val="00CB3C6A"/>
    <w:rsid w:val="00CB3F5D"/>
    <w:rsid w:val="00CB4280"/>
    <w:rsid w:val="00CB4836"/>
    <w:rsid w:val="00CB4D6F"/>
    <w:rsid w:val="00CB673C"/>
    <w:rsid w:val="00CB702F"/>
    <w:rsid w:val="00CB792B"/>
    <w:rsid w:val="00CC1CE1"/>
    <w:rsid w:val="00CC44E6"/>
    <w:rsid w:val="00CC54AC"/>
    <w:rsid w:val="00CC5A45"/>
    <w:rsid w:val="00CC5A59"/>
    <w:rsid w:val="00CC5C50"/>
    <w:rsid w:val="00CC7AD4"/>
    <w:rsid w:val="00CD0C5C"/>
    <w:rsid w:val="00CD19F7"/>
    <w:rsid w:val="00CD1E0A"/>
    <w:rsid w:val="00CD1EDC"/>
    <w:rsid w:val="00CD238C"/>
    <w:rsid w:val="00CD301B"/>
    <w:rsid w:val="00CD3222"/>
    <w:rsid w:val="00CD425E"/>
    <w:rsid w:val="00CD45C0"/>
    <w:rsid w:val="00CD507C"/>
    <w:rsid w:val="00CD550B"/>
    <w:rsid w:val="00CD72D0"/>
    <w:rsid w:val="00CD7B96"/>
    <w:rsid w:val="00CD7CC8"/>
    <w:rsid w:val="00CD7EF3"/>
    <w:rsid w:val="00CE0267"/>
    <w:rsid w:val="00CE12D3"/>
    <w:rsid w:val="00CE222D"/>
    <w:rsid w:val="00CE2367"/>
    <w:rsid w:val="00CE32C1"/>
    <w:rsid w:val="00CE3CF8"/>
    <w:rsid w:val="00CE3F88"/>
    <w:rsid w:val="00CE49B9"/>
    <w:rsid w:val="00CE4DA4"/>
    <w:rsid w:val="00CE6113"/>
    <w:rsid w:val="00CE6B16"/>
    <w:rsid w:val="00CE7B24"/>
    <w:rsid w:val="00CF0B51"/>
    <w:rsid w:val="00CF1C8F"/>
    <w:rsid w:val="00CF1DE4"/>
    <w:rsid w:val="00CF3788"/>
    <w:rsid w:val="00CF39CA"/>
    <w:rsid w:val="00CF5585"/>
    <w:rsid w:val="00CF59E7"/>
    <w:rsid w:val="00D0110A"/>
    <w:rsid w:val="00D0245A"/>
    <w:rsid w:val="00D02E46"/>
    <w:rsid w:val="00D03D62"/>
    <w:rsid w:val="00D04B88"/>
    <w:rsid w:val="00D04FF4"/>
    <w:rsid w:val="00D06FB2"/>
    <w:rsid w:val="00D07B97"/>
    <w:rsid w:val="00D1070F"/>
    <w:rsid w:val="00D10BB9"/>
    <w:rsid w:val="00D11123"/>
    <w:rsid w:val="00D12026"/>
    <w:rsid w:val="00D12633"/>
    <w:rsid w:val="00D126CF"/>
    <w:rsid w:val="00D16866"/>
    <w:rsid w:val="00D20A89"/>
    <w:rsid w:val="00D22301"/>
    <w:rsid w:val="00D22CCB"/>
    <w:rsid w:val="00D230A1"/>
    <w:rsid w:val="00D23D92"/>
    <w:rsid w:val="00D301A8"/>
    <w:rsid w:val="00D30839"/>
    <w:rsid w:val="00D3136E"/>
    <w:rsid w:val="00D323E6"/>
    <w:rsid w:val="00D33ED2"/>
    <w:rsid w:val="00D33EF1"/>
    <w:rsid w:val="00D3597B"/>
    <w:rsid w:val="00D35C02"/>
    <w:rsid w:val="00D35E0F"/>
    <w:rsid w:val="00D40A28"/>
    <w:rsid w:val="00D412E9"/>
    <w:rsid w:val="00D415C0"/>
    <w:rsid w:val="00D42285"/>
    <w:rsid w:val="00D45B74"/>
    <w:rsid w:val="00D4683B"/>
    <w:rsid w:val="00D47A42"/>
    <w:rsid w:val="00D503DA"/>
    <w:rsid w:val="00D528A0"/>
    <w:rsid w:val="00D530DF"/>
    <w:rsid w:val="00D53530"/>
    <w:rsid w:val="00D53783"/>
    <w:rsid w:val="00D53834"/>
    <w:rsid w:val="00D5398B"/>
    <w:rsid w:val="00D53DC7"/>
    <w:rsid w:val="00D54677"/>
    <w:rsid w:val="00D54904"/>
    <w:rsid w:val="00D5501D"/>
    <w:rsid w:val="00D55B4A"/>
    <w:rsid w:val="00D55ED6"/>
    <w:rsid w:val="00D566A3"/>
    <w:rsid w:val="00D5699E"/>
    <w:rsid w:val="00D57B60"/>
    <w:rsid w:val="00D60159"/>
    <w:rsid w:val="00D606C5"/>
    <w:rsid w:val="00D6070B"/>
    <w:rsid w:val="00D608CB"/>
    <w:rsid w:val="00D61D53"/>
    <w:rsid w:val="00D63C1E"/>
    <w:rsid w:val="00D648E4"/>
    <w:rsid w:val="00D64905"/>
    <w:rsid w:val="00D65542"/>
    <w:rsid w:val="00D65894"/>
    <w:rsid w:val="00D70FB2"/>
    <w:rsid w:val="00D72220"/>
    <w:rsid w:val="00D7285C"/>
    <w:rsid w:val="00D72AAA"/>
    <w:rsid w:val="00D72B00"/>
    <w:rsid w:val="00D7379A"/>
    <w:rsid w:val="00D740CF"/>
    <w:rsid w:val="00D74281"/>
    <w:rsid w:val="00D74A5B"/>
    <w:rsid w:val="00D750F8"/>
    <w:rsid w:val="00D757C6"/>
    <w:rsid w:val="00D757E8"/>
    <w:rsid w:val="00D80567"/>
    <w:rsid w:val="00D80C01"/>
    <w:rsid w:val="00D83808"/>
    <w:rsid w:val="00D842B2"/>
    <w:rsid w:val="00D84791"/>
    <w:rsid w:val="00D86381"/>
    <w:rsid w:val="00D863BC"/>
    <w:rsid w:val="00D87689"/>
    <w:rsid w:val="00D87F5A"/>
    <w:rsid w:val="00D9006A"/>
    <w:rsid w:val="00D90A24"/>
    <w:rsid w:val="00D913E7"/>
    <w:rsid w:val="00D91449"/>
    <w:rsid w:val="00D91B55"/>
    <w:rsid w:val="00D91DC9"/>
    <w:rsid w:val="00D921D7"/>
    <w:rsid w:val="00D9288F"/>
    <w:rsid w:val="00D92FCC"/>
    <w:rsid w:val="00D9305F"/>
    <w:rsid w:val="00D934F8"/>
    <w:rsid w:val="00D93CFB"/>
    <w:rsid w:val="00D955A5"/>
    <w:rsid w:val="00D95FE2"/>
    <w:rsid w:val="00D96086"/>
    <w:rsid w:val="00D96542"/>
    <w:rsid w:val="00D97A0A"/>
    <w:rsid w:val="00DA093D"/>
    <w:rsid w:val="00DA213F"/>
    <w:rsid w:val="00DA2D95"/>
    <w:rsid w:val="00DA3412"/>
    <w:rsid w:val="00DA37CA"/>
    <w:rsid w:val="00DA4AA2"/>
    <w:rsid w:val="00DA507F"/>
    <w:rsid w:val="00DA5488"/>
    <w:rsid w:val="00DA5816"/>
    <w:rsid w:val="00DA5E1A"/>
    <w:rsid w:val="00DA6730"/>
    <w:rsid w:val="00DB21B6"/>
    <w:rsid w:val="00DB24D9"/>
    <w:rsid w:val="00DB31E5"/>
    <w:rsid w:val="00DB3D29"/>
    <w:rsid w:val="00DB4863"/>
    <w:rsid w:val="00DB607B"/>
    <w:rsid w:val="00DB6442"/>
    <w:rsid w:val="00DB65A6"/>
    <w:rsid w:val="00DB7E73"/>
    <w:rsid w:val="00DC075C"/>
    <w:rsid w:val="00DC07C7"/>
    <w:rsid w:val="00DC1CE2"/>
    <w:rsid w:val="00DC2702"/>
    <w:rsid w:val="00DC289D"/>
    <w:rsid w:val="00DC2B7A"/>
    <w:rsid w:val="00DC307C"/>
    <w:rsid w:val="00DC4EB5"/>
    <w:rsid w:val="00DC5024"/>
    <w:rsid w:val="00DC6649"/>
    <w:rsid w:val="00DD228A"/>
    <w:rsid w:val="00DD24AF"/>
    <w:rsid w:val="00DD29D5"/>
    <w:rsid w:val="00DD2F7A"/>
    <w:rsid w:val="00DD4A25"/>
    <w:rsid w:val="00DD5AB8"/>
    <w:rsid w:val="00DD5ED9"/>
    <w:rsid w:val="00DD6AF9"/>
    <w:rsid w:val="00DD70FC"/>
    <w:rsid w:val="00DD7599"/>
    <w:rsid w:val="00DD7BA5"/>
    <w:rsid w:val="00DD7C34"/>
    <w:rsid w:val="00DE1A88"/>
    <w:rsid w:val="00DE21F3"/>
    <w:rsid w:val="00DE2FB8"/>
    <w:rsid w:val="00DE3F75"/>
    <w:rsid w:val="00DE47E4"/>
    <w:rsid w:val="00DE56E3"/>
    <w:rsid w:val="00DE5B4E"/>
    <w:rsid w:val="00DF2B29"/>
    <w:rsid w:val="00DF2EFB"/>
    <w:rsid w:val="00DF3567"/>
    <w:rsid w:val="00DF4027"/>
    <w:rsid w:val="00DF5AB9"/>
    <w:rsid w:val="00DF64FD"/>
    <w:rsid w:val="00DF75D2"/>
    <w:rsid w:val="00DF7AB6"/>
    <w:rsid w:val="00E00D89"/>
    <w:rsid w:val="00E0181F"/>
    <w:rsid w:val="00E03291"/>
    <w:rsid w:val="00E039B2"/>
    <w:rsid w:val="00E03FE9"/>
    <w:rsid w:val="00E04F83"/>
    <w:rsid w:val="00E068D6"/>
    <w:rsid w:val="00E06D33"/>
    <w:rsid w:val="00E07F41"/>
    <w:rsid w:val="00E10DCE"/>
    <w:rsid w:val="00E12C76"/>
    <w:rsid w:val="00E14299"/>
    <w:rsid w:val="00E1619F"/>
    <w:rsid w:val="00E168F8"/>
    <w:rsid w:val="00E20D3F"/>
    <w:rsid w:val="00E2102F"/>
    <w:rsid w:val="00E21B3F"/>
    <w:rsid w:val="00E21D66"/>
    <w:rsid w:val="00E23414"/>
    <w:rsid w:val="00E247FA"/>
    <w:rsid w:val="00E25CC6"/>
    <w:rsid w:val="00E27C60"/>
    <w:rsid w:val="00E27DE6"/>
    <w:rsid w:val="00E30B4B"/>
    <w:rsid w:val="00E33188"/>
    <w:rsid w:val="00E339A1"/>
    <w:rsid w:val="00E35119"/>
    <w:rsid w:val="00E36BF0"/>
    <w:rsid w:val="00E36CBE"/>
    <w:rsid w:val="00E400F6"/>
    <w:rsid w:val="00E40A55"/>
    <w:rsid w:val="00E42215"/>
    <w:rsid w:val="00E425CF"/>
    <w:rsid w:val="00E42C21"/>
    <w:rsid w:val="00E42C5B"/>
    <w:rsid w:val="00E42E67"/>
    <w:rsid w:val="00E4423E"/>
    <w:rsid w:val="00E46096"/>
    <w:rsid w:val="00E46B3F"/>
    <w:rsid w:val="00E50093"/>
    <w:rsid w:val="00E53BCB"/>
    <w:rsid w:val="00E53E4F"/>
    <w:rsid w:val="00E55F36"/>
    <w:rsid w:val="00E572D7"/>
    <w:rsid w:val="00E606B5"/>
    <w:rsid w:val="00E62FC8"/>
    <w:rsid w:val="00E634BD"/>
    <w:rsid w:val="00E638FB"/>
    <w:rsid w:val="00E6422F"/>
    <w:rsid w:val="00E642AD"/>
    <w:rsid w:val="00E64323"/>
    <w:rsid w:val="00E6592D"/>
    <w:rsid w:val="00E65FF4"/>
    <w:rsid w:val="00E668CF"/>
    <w:rsid w:val="00E67BA1"/>
    <w:rsid w:val="00E705B4"/>
    <w:rsid w:val="00E71242"/>
    <w:rsid w:val="00E72CB4"/>
    <w:rsid w:val="00E73267"/>
    <w:rsid w:val="00E73C1E"/>
    <w:rsid w:val="00E74A5B"/>
    <w:rsid w:val="00E74C6C"/>
    <w:rsid w:val="00E753DC"/>
    <w:rsid w:val="00E75415"/>
    <w:rsid w:val="00E75A5F"/>
    <w:rsid w:val="00E7628D"/>
    <w:rsid w:val="00E77DCF"/>
    <w:rsid w:val="00E80427"/>
    <w:rsid w:val="00E80710"/>
    <w:rsid w:val="00E83CB9"/>
    <w:rsid w:val="00E83FD0"/>
    <w:rsid w:val="00E851D1"/>
    <w:rsid w:val="00E85C48"/>
    <w:rsid w:val="00E85DD6"/>
    <w:rsid w:val="00E87F2A"/>
    <w:rsid w:val="00E920DE"/>
    <w:rsid w:val="00E92565"/>
    <w:rsid w:val="00E94ABD"/>
    <w:rsid w:val="00E964A2"/>
    <w:rsid w:val="00E96F46"/>
    <w:rsid w:val="00EA150D"/>
    <w:rsid w:val="00EA1797"/>
    <w:rsid w:val="00EA1F98"/>
    <w:rsid w:val="00EA2296"/>
    <w:rsid w:val="00EA2C38"/>
    <w:rsid w:val="00EA494A"/>
    <w:rsid w:val="00EA527D"/>
    <w:rsid w:val="00EA530F"/>
    <w:rsid w:val="00EA535C"/>
    <w:rsid w:val="00EA57BA"/>
    <w:rsid w:val="00EA5EFE"/>
    <w:rsid w:val="00EA7BDE"/>
    <w:rsid w:val="00EA7D55"/>
    <w:rsid w:val="00EA7F75"/>
    <w:rsid w:val="00EB0C2E"/>
    <w:rsid w:val="00EB0F76"/>
    <w:rsid w:val="00EB1830"/>
    <w:rsid w:val="00EB1A6F"/>
    <w:rsid w:val="00EB1B81"/>
    <w:rsid w:val="00EB3466"/>
    <w:rsid w:val="00EB4AAF"/>
    <w:rsid w:val="00EB68D2"/>
    <w:rsid w:val="00EB7200"/>
    <w:rsid w:val="00EB756F"/>
    <w:rsid w:val="00EC0BCE"/>
    <w:rsid w:val="00EC0BD1"/>
    <w:rsid w:val="00EC1068"/>
    <w:rsid w:val="00EC27CD"/>
    <w:rsid w:val="00EC5319"/>
    <w:rsid w:val="00EC5E24"/>
    <w:rsid w:val="00EC654B"/>
    <w:rsid w:val="00EC6CA3"/>
    <w:rsid w:val="00EC729E"/>
    <w:rsid w:val="00EC7800"/>
    <w:rsid w:val="00EC7FF8"/>
    <w:rsid w:val="00ED0346"/>
    <w:rsid w:val="00ED060B"/>
    <w:rsid w:val="00ED06E9"/>
    <w:rsid w:val="00ED0A89"/>
    <w:rsid w:val="00ED1746"/>
    <w:rsid w:val="00ED1A00"/>
    <w:rsid w:val="00ED1BE5"/>
    <w:rsid w:val="00ED1EB9"/>
    <w:rsid w:val="00ED27A4"/>
    <w:rsid w:val="00ED304E"/>
    <w:rsid w:val="00ED36FC"/>
    <w:rsid w:val="00ED3AAE"/>
    <w:rsid w:val="00ED3CCA"/>
    <w:rsid w:val="00ED400D"/>
    <w:rsid w:val="00ED676B"/>
    <w:rsid w:val="00ED6E3E"/>
    <w:rsid w:val="00ED752A"/>
    <w:rsid w:val="00EE0DD3"/>
    <w:rsid w:val="00EE2502"/>
    <w:rsid w:val="00EE2D4D"/>
    <w:rsid w:val="00EE513E"/>
    <w:rsid w:val="00EE58A9"/>
    <w:rsid w:val="00EE5BA9"/>
    <w:rsid w:val="00EE600E"/>
    <w:rsid w:val="00EE7979"/>
    <w:rsid w:val="00EF0280"/>
    <w:rsid w:val="00EF050A"/>
    <w:rsid w:val="00EF0695"/>
    <w:rsid w:val="00EF11B1"/>
    <w:rsid w:val="00EF1B3C"/>
    <w:rsid w:val="00EF251B"/>
    <w:rsid w:val="00EF43C0"/>
    <w:rsid w:val="00EF57BB"/>
    <w:rsid w:val="00EF6F71"/>
    <w:rsid w:val="00EF7277"/>
    <w:rsid w:val="00EF78AF"/>
    <w:rsid w:val="00F0084E"/>
    <w:rsid w:val="00F03B34"/>
    <w:rsid w:val="00F05197"/>
    <w:rsid w:val="00F05C73"/>
    <w:rsid w:val="00F06211"/>
    <w:rsid w:val="00F06F0B"/>
    <w:rsid w:val="00F108EA"/>
    <w:rsid w:val="00F1181D"/>
    <w:rsid w:val="00F1319B"/>
    <w:rsid w:val="00F1418E"/>
    <w:rsid w:val="00F1452D"/>
    <w:rsid w:val="00F14AEC"/>
    <w:rsid w:val="00F16401"/>
    <w:rsid w:val="00F16E87"/>
    <w:rsid w:val="00F1772F"/>
    <w:rsid w:val="00F17CD1"/>
    <w:rsid w:val="00F2267B"/>
    <w:rsid w:val="00F237BA"/>
    <w:rsid w:val="00F256A8"/>
    <w:rsid w:val="00F25F9B"/>
    <w:rsid w:val="00F26518"/>
    <w:rsid w:val="00F26AE8"/>
    <w:rsid w:val="00F26ED6"/>
    <w:rsid w:val="00F26EEF"/>
    <w:rsid w:val="00F271C7"/>
    <w:rsid w:val="00F27574"/>
    <w:rsid w:val="00F2763B"/>
    <w:rsid w:val="00F30DAB"/>
    <w:rsid w:val="00F31E2D"/>
    <w:rsid w:val="00F32380"/>
    <w:rsid w:val="00F326A3"/>
    <w:rsid w:val="00F326EB"/>
    <w:rsid w:val="00F328B1"/>
    <w:rsid w:val="00F32D82"/>
    <w:rsid w:val="00F3335C"/>
    <w:rsid w:val="00F33A96"/>
    <w:rsid w:val="00F33E89"/>
    <w:rsid w:val="00F40859"/>
    <w:rsid w:val="00F41488"/>
    <w:rsid w:val="00F421AD"/>
    <w:rsid w:val="00F427D4"/>
    <w:rsid w:val="00F42964"/>
    <w:rsid w:val="00F42D6D"/>
    <w:rsid w:val="00F434A4"/>
    <w:rsid w:val="00F44507"/>
    <w:rsid w:val="00F450B3"/>
    <w:rsid w:val="00F45808"/>
    <w:rsid w:val="00F45B7D"/>
    <w:rsid w:val="00F50383"/>
    <w:rsid w:val="00F50CD7"/>
    <w:rsid w:val="00F51165"/>
    <w:rsid w:val="00F51F51"/>
    <w:rsid w:val="00F520EC"/>
    <w:rsid w:val="00F526D7"/>
    <w:rsid w:val="00F530AF"/>
    <w:rsid w:val="00F53F5F"/>
    <w:rsid w:val="00F54451"/>
    <w:rsid w:val="00F54A2A"/>
    <w:rsid w:val="00F55350"/>
    <w:rsid w:val="00F56D33"/>
    <w:rsid w:val="00F574F8"/>
    <w:rsid w:val="00F57C07"/>
    <w:rsid w:val="00F57E05"/>
    <w:rsid w:val="00F608E6"/>
    <w:rsid w:val="00F62D59"/>
    <w:rsid w:val="00F630E1"/>
    <w:rsid w:val="00F64696"/>
    <w:rsid w:val="00F651B2"/>
    <w:rsid w:val="00F67091"/>
    <w:rsid w:val="00F67B87"/>
    <w:rsid w:val="00F70212"/>
    <w:rsid w:val="00F70B48"/>
    <w:rsid w:val="00F70D94"/>
    <w:rsid w:val="00F70F6C"/>
    <w:rsid w:val="00F71903"/>
    <w:rsid w:val="00F72496"/>
    <w:rsid w:val="00F72B09"/>
    <w:rsid w:val="00F74962"/>
    <w:rsid w:val="00F75B4D"/>
    <w:rsid w:val="00F76A26"/>
    <w:rsid w:val="00F7710A"/>
    <w:rsid w:val="00F7792F"/>
    <w:rsid w:val="00F77A1B"/>
    <w:rsid w:val="00F80DD6"/>
    <w:rsid w:val="00F81734"/>
    <w:rsid w:val="00F81AA6"/>
    <w:rsid w:val="00F81DE0"/>
    <w:rsid w:val="00F8255D"/>
    <w:rsid w:val="00F83105"/>
    <w:rsid w:val="00F83125"/>
    <w:rsid w:val="00F83256"/>
    <w:rsid w:val="00F83356"/>
    <w:rsid w:val="00F84C41"/>
    <w:rsid w:val="00F84FAC"/>
    <w:rsid w:val="00F854C2"/>
    <w:rsid w:val="00F85CA3"/>
    <w:rsid w:val="00F86ED7"/>
    <w:rsid w:val="00F86F81"/>
    <w:rsid w:val="00F90056"/>
    <w:rsid w:val="00F901E2"/>
    <w:rsid w:val="00F90EEE"/>
    <w:rsid w:val="00F91F44"/>
    <w:rsid w:val="00F921E0"/>
    <w:rsid w:val="00F92A16"/>
    <w:rsid w:val="00F92D6A"/>
    <w:rsid w:val="00F96646"/>
    <w:rsid w:val="00F97571"/>
    <w:rsid w:val="00F97604"/>
    <w:rsid w:val="00FA0907"/>
    <w:rsid w:val="00FA1ED5"/>
    <w:rsid w:val="00FA3FB7"/>
    <w:rsid w:val="00FA56EC"/>
    <w:rsid w:val="00FA5925"/>
    <w:rsid w:val="00FA6413"/>
    <w:rsid w:val="00FA64CE"/>
    <w:rsid w:val="00FB1D5E"/>
    <w:rsid w:val="00FB1DF3"/>
    <w:rsid w:val="00FB2512"/>
    <w:rsid w:val="00FB3410"/>
    <w:rsid w:val="00FB601A"/>
    <w:rsid w:val="00FB6229"/>
    <w:rsid w:val="00FC08D8"/>
    <w:rsid w:val="00FC1115"/>
    <w:rsid w:val="00FC1261"/>
    <w:rsid w:val="00FC15A2"/>
    <w:rsid w:val="00FC25FF"/>
    <w:rsid w:val="00FC2C74"/>
    <w:rsid w:val="00FC2D95"/>
    <w:rsid w:val="00FC3BFD"/>
    <w:rsid w:val="00FC581D"/>
    <w:rsid w:val="00FC5960"/>
    <w:rsid w:val="00FC5BD9"/>
    <w:rsid w:val="00FD000B"/>
    <w:rsid w:val="00FD006C"/>
    <w:rsid w:val="00FD1A0F"/>
    <w:rsid w:val="00FD21E4"/>
    <w:rsid w:val="00FD2C60"/>
    <w:rsid w:val="00FD33FD"/>
    <w:rsid w:val="00FD3541"/>
    <w:rsid w:val="00FD393E"/>
    <w:rsid w:val="00FD39FF"/>
    <w:rsid w:val="00FD3A47"/>
    <w:rsid w:val="00FD4DC4"/>
    <w:rsid w:val="00FD538E"/>
    <w:rsid w:val="00FD57EF"/>
    <w:rsid w:val="00FD5CD1"/>
    <w:rsid w:val="00FD5FAD"/>
    <w:rsid w:val="00FD6965"/>
    <w:rsid w:val="00FD6F5F"/>
    <w:rsid w:val="00FD7A3C"/>
    <w:rsid w:val="00FE29CC"/>
    <w:rsid w:val="00FE2D75"/>
    <w:rsid w:val="00FE3377"/>
    <w:rsid w:val="00FE346B"/>
    <w:rsid w:val="00FE3721"/>
    <w:rsid w:val="00FE4190"/>
    <w:rsid w:val="00FE4891"/>
    <w:rsid w:val="00FE4CFD"/>
    <w:rsid w:val="00FE597D"/>
    <w:rsid w:val="00FE5EC1"/>
    <w:rsid w:val="00FE61F7"/>
    <w:rsid w:val="00FE747F"/>
    <w:rsid w:val="00FF0B00"/>
    <w:rsid w:val="00FF1482"/>
    <w:rsid w:val="00FF15C7"/>
    <w:rsid w:val="00FF2ECF"/>
    <w:rsid w:val="00FF4725"/>
    <w:rsid w:val="00FF59EC"/>
    <w:rsid w:val="00FF6E11"/>
    <w:rsid w:val="00FF7633"/>
    <w:rsid w:val="00FF76BB"/>
    <w:rsid w:val="01EA27BE"/>
    <w:rsid w:val="023A7D51"/>
    <w:rsid w:val="02483422"/>
    <w:rsid w:val="03EA2F76"/>
    <w:rsid w:val="0BFC4515"/>
    <w:rsid w:val="0E644EB0"/>
    <w:rsid w:val="102C213A"/>
    <w:rsid w:val="12E253B6"/>
    <w:rsid w:val="16705A5C"/>
    <w:rsid w:val="17B36742"/>
    <w:rsid w:val="1A9166F8"/>
    <w:rsid w:val="1C695C2E"/>
    <w:rsid w:val="1C7D6E28"/>
    <w:rsid w:val="1EB706D0"/>
    <w:rsid w:val="23A161D5"/>
    <w:rsid w:val="23E64535"/>
    <w:rsid w:val="24465A40"/>
    <w:rsid w:val="2B3D0273"/>
    <w:rsid w:val="2C622C71"/>
    <w:rsid w:val="2D726F54"/>
    <w:rsid w:val="377B3594"/>
    <w:rsid w:val="3DAE8CD9"/>
    <w:rsid w:val="41A05ED8"/>
    <w:rsid w:val="43803410"/>
    <w:rsid w:val="46182B8E"/>
    <w:rsid w:val="49C45812"/>
    <w:rsid w:val="50092CE7"/>
    <w:rsid w:val="54FD72F3"/>
    <w:rsid w:val="5868216D"/>
    <w:rsid w:val="61214434"/>
    <w:rsid w:val="64D133EC"/>
    <w:rsid w:val="699277F9"/>
    <w:rsid w:val="73EF50D2"/>
    <w:rsid w:val="745A1070"/>
    <w:rsid w:val="78E35FDA"/>
    <w:rsid w:val="7C272650"/>
    <w:rsid w:val="7E09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99" w:semiHidden="0" w:name="toa heading"/>
    <w:lsdException w:qFormat="1" w:unhideWhenUsed="0" w:uiPriority="99" w:semiHidden="0" w:name="List"/>
    <w:lsdException w:qFormat="1" w:unhideWhenUsed="0" w:uiPriority="99" w:semiHidden="0" w:name="List Bullet"/>
    <w:lsdException w:uiPriority="0" w:name="List Number"/>
    <w:lsdException w:qFormat="1" w:unhideWhenUsed="0" w:uiPriority="0" w:semiHidden="0" w:name="List 2"/>
    <w:lsdException w:qFormat="1" w:uiPriority="0" w:semiHidden="0" w:name="List 3"/>
    <w:lsdException w:qFormat="1" w:uiPriority="99" w:semiHidden="0" w:name="List 4"/>
    <w:lsdException w:uiPriority="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1"/>
    <w:qFormat/>
    <w:uiPriority w:val="0"/>
    <w:pPr>
      <w:keepNext/>
      <w:keepLines/>
      <w:snapToGrid w:val="0"/>
      <w:jc w:val="center"/>
      <w:outlineLvl w:val="0"/>
    </w:pPr>
    <w:rPr>
      <w:rFonts w:ascii="宋体" w:hAnsi="宋体"/>
      <w:b/>
      <w:bCs/>
      <w:kern w:val="44"/>
      <w:sz w:val="32"/>
      <w:szCs w:val="20"/>
    </w:rPr>
  </w:style>
  <w:style w:type="paragraph" w:styleId="3">
    <w:name w:val="heading 2"/>
    <w:basedOn w:val="1"/>
    <w:next w:val="4"/>
    <w:link w:val="116"/>
    <w:qFormat/>
    <w:uiPriority w:val="9"/>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5">
    <w:name w:val="heading 3"/>
    <w:basedOn w:val="1"/>
    <w:next w:val="1"/>
    <w:link w:val="162"/>
    <w:qFormat/>
    <w:uiPriority w:val="9"/>
    <w:pPr>
      <w:keepNext/>
      <w:keepLines/>
      <w:spacing w:before="260" w:after="260" w:line="416" w:lineRule="auto"/>
      <w:outlineLvl w:val="2"/>
    </w:pPr>
    <w:rPr>
      <w:b/>
      <w:bCs/>
      <w:sz w:val="32"/>
      <w:szCs w:val="32"/>
      <w:lang w:val="zh-CN"/>
    </w:rPr>
  </w:style>
  <w:style w:type="paragraph" w:styleId="6">
    <w:name w:val="heading 4"/>
    <w:basedOn w:val="5"/>
    <w:next w:val="4"/>
    <w:link w:val="168"/>
    <w:qFormat/>
    <w:uiPriority w:val="0"/>
    <w:p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4"/>
    <w:link w:val="122"/>
    <w:qFormat/>
    <w:uiPriority w:val="0"/>
    <w:pPr>
      <w:numPr>
        <w:ilvl w:val="4"/>
        <w:numId w:val="1"/>
      </w:numPr>
      <w:spacing w:line="240" w:lineRule="exact"/>
      <w:outlineLvl w:val="4"/>
    </w:pPr>
  </w:style>
  <w:style w:type="paragraph" w:styleId="8">
    <w:name w:val="heading 6"/>
    <w:basedOn w:val="1"/>
    <w:next w:val="1"/>
    <w:link w:val="149"/>
    <w:qFormat/>
    <w:uiPriority w:val="0"/>
    <w:pPr>
      <w:keepNext/>
      <w:keepLines/>
      <w:tabs>
        <w:tab w:val="left" w:pos="1152"/>
      </w:tabs>
      <w:spacing w:before="240" w:after="64" w:line="320" w:lineRule="auto"/>
      <w:ind w:left="1152" w:hanging="432"/>
      <w:outlineLvl w:val="5"/>
    </w:pPr>
    <w:rPr>
      <w:rFonts w:ascii="Arial" w:hAnsi="Arial" w:eastAsia="黑体"/>
      <w:b/>
      <w:bCs/>
      <w:sz w:val="24"/>
      <w:lang w:val="zh-CN"/>
    </w:rPr>
  </w:style>
  <w:style w:type="paragraph" w:styleId="9">
    <w:name w:val="heading 7"/>
    <w:basedOn w:val="1"/>
    <w:next w:val="4"/>
    <w:link w:val="80"/>
    <w:qFormat/>
    <w:uiPriority w:val="0"/>
    <w:pPr>
      <w:keepNext/>
      <w:keepLines/>
      <w:numPr>
        <w:ilvl w:val="6"/>
        <w:numId w:val="1"/>
      </w:numPr>
      <w:spacing w:before="240" w:after="64" w:line="320" w:lineRule="auto"/>
      <w:outlineLvl w:val="6"/>
    </w:pPr>
    <w:rPr>
      <w:b/>
      <w:sz w:val="24"/>
      <w:szCs w:val="20"/>
      <w:lang w:val="zh-CN"/>
    </w:rPr>
  </w:style>
  <w:style w:type="paragraph" w:styleId="10">
    <w:name w:val="heading 8"/>
    <w:basedOn w:val="1"/>
    <w:next w:val="4"/>
    <w:link w:val="123"/>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1">
    <w:name w:val="heading 9"/>
    <w:basedOn w:val="1"/>
    <w:next w:val="4"/>
    <w:link w:val="82"/>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63">
    <w:name w:val="Default Paragraph Font"/>
    <w:unhideWhenUsed/>
    <w:uiPriority w:val="1"/>
  </w:style>
  <w:style w:type="table" w:default="1" w:styleId="74">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link w:val="76"/>
    <w:qFormat/>
    <w:uiPriority w:val="0"/>
    <w:pPr>
      <w:ind w:firstLine="420" w:firstLineChars="200"/>
    </w:pPr>
    <w:rPr>
      <w:lang w:val="zh-CN"/>
    </w:rPr>
  </w:style>
  <w:style w:type="paragraph" w:styleId="12">
    <w:name w:val="List 3"/>
    <w:basedOn w:val="1"/>
    <w:unhideWhenUsed/>
    <w:qFormat/>
    <w:uiPriority w:val="0"/>
    <w:pPr>
      <w:ind w:left="100" w:leftChars="400" w:hanging="200" w:hangingChars="200"/>
    </w:pPr>
  </w:style>
  <w:style w:type="paragraph" w:styleId="13">
    <w:name w:val="annotation subject"/>
    <w:basedOn w:val="14"/>
    <w:next w:val="14"/>
    <w:link w:val="147"/>
    <w:qFormat/>
    <w:uiPriority w:val="0"/>
    <w:rPr>
      <w:b/>
      <w:bCs/>
    </w:rPr>
  </w:style>
  <w:style w:type="paragraph" w:styleId="14">
    <w:name w:val="annotation text"/>
    <w:basedOn w:val="1"/>
    <w:link w:val="144"/>
    <w:qFormat/>
    <w:uiPriority w:val="0"/>
    <w:pPr>
      <w:jc w:val="left"/>
    </w:pPr>
    <w:rPr>
      <w:lang w:val="zh-CN"/>
    </w:rPr>
  </w:style>
  <w:style w:type="paragraph" w:styleId="15">
    <w:name w:val="toc 7"/>
    <w:basedOn w:val="1"/>
    <w:next w:val="1"/>
    <w:qFormat/>
    <w:uiPriority w:val="39"/>
    <w:pPr>
      <w:ind w:left="1260"/>
      <w:jc w:val="left"/>
    </w:pPr>
    <w:rPr>
      <w:rFonts w:ascii="Calibri" w:hAnsi="Calibri"/>
      <w:sz w:val="18"/>
      <w:szCs w:val="18"/>
    </w:rPr>
  </w:style>
  <w:style w:type="paragraph" w:styleId="16">
    <w:name w:val="Body Text First Indent"/>
    <w:basedOn w:val="17"/>
    <w:link w:val="96"/>
    <w:qFormat/>
    <w:uiPriority w:val="0"/>
    <w:pPr>
      <w:spacing w:after="120"/>
      <w:ind w:firstLine="420" w:firstLineChars="100"/>
    </w:pPr>
    <w:rPr>
      <w:rFonts w:ascii="Calibri" w:hAnsi="Calibri" w:eastAsia="仿宋_GB2312" w:cs="Calibri"/>
      <w:sz w:val="28"/>
      <w:szCs w:val="28"/>
    </w:rPr>
  </w:style>
  <w:style w:type="paragraph" w:styleId="17">
    <w:name w:val="Body Text"/>
    <w:basedOn w:val="1"/>
    <w:link w:val="112"/>
    <w:qFormat/>
    <w:uiPriority w:val="0"/>
    <w:rPr>
      <w:rFonts w:ascii="Arial" w:hAnsi="Arial"/>
      <w:color w:val="000000"/>
    </w:rPr>
  </w:style>
  <w:style w:type="paragraph" w:styleId="18">
    <w:name w:val="index 8"/>
    <w:basedOn w:val="1"/>
    <w:next w:val="1"/>
    <w:qFormat/>
    <w:uiPriority w:val="0"/>
    <w:pPr>
      <w:ind w:left="1680" w:hanging="210"/>
      <w:jc w:val="left"/>
    </w:pPr>
    <w:rPr>
      <w:szCs w:val="21"/>
    </w:rPr>
  </w:style>
  <w:style w:type="paragraph" w:styleId="19">
    <w:name w:val="caption"/>
    <w:next w:val="1"/>
    <w:qFormat/>
    <w:uiPriority w:val="0"/>
    <w:pPr>
      <w:spacing w:before="60" w:after="120"/>
      <w:jc w:val="center"/>
    </w:pPr>
    <w:rPr>
      <w:rFonts w:ascii="方正书宋简体" w:hAnsi="Calibri" w:eastAsia="方正书宋简体" w:cs="Calibri"/>
      <w:sz w:val="18"/>
      <w:lang w:val="en-US" w:eastAsia="zh-CN" w:bidi="ar-SA"/>
    </w:rPr>
  </w:style>
  <w:style w:type="paragraph" w:styleId="20">
    <w:name w:val="index 5"/>
    <w:basedOn w:val="1"/>
    <w:next w:val="1"/>
    <w:qFormat/>
    <w:uiPriority w:val="0"/>
    <w:pPr>
      <w:ind w:left="1050" w:hanging="210"/>
      <w:jc w:val="left"/>
    </w:pPr>
    <w:rPr>
      <w:szCs w:val="21"/>
    </w:rPr>
  </w:style>
  <w:style w:type="paragraph" w:styleId="21">
    <w:name w:val="List Bullet"/>
    <w:basedOn w:val="1"/>
    <w:qFormat/>
    <w:uiPriority w:val="99"/>
    <w:pPr>
      <w:widowControl/>
      <w:tabs>
        <w:tab w:val="left" w:pos="360"/>
      </w:tabs>
      <w:jc w:val="left"/>
    </w:pPr>
    <w:rPr>
      <w:kern w:val="0"/>
      <w:sz w:val="20"/>
      <w:szCs w:val="20"/>
    </w:rPr>
  </w:style>
  <w:style w:type="paragraph" w:styleId="22">
    <w:name w:val="Document Map"/>
    <w:basedOn w:val="1"/>
    <w:link w:val="84"/>
    <w:qFormat/>
    <w:uiPriority w:val="0"/>
    <w:pPr>
      <w:shd w:val="clear" w:color="auto" w:fill="000080"/>
    </w:pPr>
    <w:rPr>
      <w:lang w:val="zh-CN"/>
    </w:rPr>
  </w:style>
  <w:style w:type="paragraph" w:styleId="23">
    <w:name w:val="toa heading"/>
    <w:basedOn w:val="1"/>
    <w:next w:val="1"/>
    <w:qFormat/>
    <w:uiPriority w:val="99"/>
    <w:pPr>
      <w:spacing w:before="120"/>
    </w:pPr>
    <w:rPr>
      <w:rFonts w:ascii="Arial" w:hAnsi="Arial"/>
      <w:sz w:val="24"/>
      <w:szCs w:val="20"/>
    </w:rPr>
  </w:style>
  <w:style w:type="paragraph" w:styleId="24">
    <w:name w:val="index 6"/>
    <w:basedOn w:val="1"/>
    <w:next w:val="1"/>
    <w:qFormat/>
    <w:uiPriority w:val="0"/>
    <w:pPr>
      <w:ind w:left="1260" w:hanging="210"/>
      <w:jc w:val="left"/>
    </w:pPr>
    <w:rPr>
      <w:szCs w:val="21"/>
    </w:rPr>
  </w:style>
  <w:style w:type="paragraph" w:styleId="25">
    <w:name w:val="Salutation"/>
    <w:basedOn w:val="1"/>
    <w:next w:val="1"/>
    <w:link w:val="172"/>
    <w:qFormat/>
    <w:uiPriority w:val="0"/>
    <w:rPr>
      <w:rFonts w:hAnsi="宋体"/>
      <w:kern w:val="0"/>
      <w:sz w:val="20"/>
      <w:szCs w:val="21"/>
      <w:lang w:val="zh-CN"/>
    </w:rPr>
  </w:style>
  <w:style w:type="paragraph" w:styleId="26">
    <w:name w:val="Body Text 3"/>
    <w:basedOn w:val="1"/>
    <w:link w:val="113"/>
    <w:qFormat/>
    <w:uiPriority w:val="0"/>
    <w:pPr>
      <w:spacing w:after="120"/>
    </w:pPr>
    <w:rPr>
      <w:rFonts w:ascii="宋体" w:hAnsi="宋体"/>
      <w:sz w:val="16"/>
      <w:szCs w:val="16"/>
      <w:lang w:val="zh-CN"/>
    </w:rPr>
  </w:style>
  <w:style w:type="paragraph" w:styleId="27">
    <w:name w:val="Closing"/>
    <w:basedOn w:val="1"/>
    <w:link w:val="106"/>
    <w:qFormat/>
    <w:uiPriority w:val="0"/>
    <w:pPr>
      <w:ind w:left="100" w:leftChars="2100"/>
    </w:pPr>
    <w:rPr>
      <w:rFonts w:hAnsi="宋体"/>
      <w:kern w:val="0"/>
      <w:sz w:val="20"/>
      <w:szCs w:val="21"/>
      <w:lang w:val="zh-CN"/>
    </w:rPr>
  </w:style>
  <w:style w:type="paragraph" w:styleId="28">
    <w:name w:val="Body Text Indent"/>
    <w:basedOn w:val="1"/>
    <w:link w:val="143"/>
    <w:qFormat/>
    <w:uiPriority w:val="0"/>
    <w:pPr>
      <w:tabs>
        <w:tab w:val="left" w:pos="8364"/>
      </w:tabs>
      <w:ind w:right="-58" w:firstLine="735"/>
    </w:pPr>
    <w:rPr>
      <w:rFonts w:ascii="宋体"/>
      <w:szCs w:val="20"/>
      <w:lang w:val="zh-CN"/>
    </w:rPr>
  </w:style>
  <w:style w:type="paragraph" w:styleId="29">
    <w:name w:val="List 2"/>
    <w:basedOn w:val="30"/>
    <w:qFormat/>
    <w:uiPriority w:val="0"/>
    <w:pPr>
      <w:snapToGrid w:val="0"/>
      <w:spacing w:before="120" w:after="220" w:line="220" w:lineRule="atLeast"/>
      <w:ind w:left="1800" w:hanging="360" w:firstLineChars="0"/>
    </w:pPr>
    <w:rPr>
      <w:rFonts w:ascii="幼圆" w:eastAsia="幼圆"/>
      <w:kern w:val="0"/>
      <w:sz w:val="22"/>
    </w:rPr>
  </w:style>
  <w:style w:type="paragraph" w:styleId="30">
    <w:name w:val="List"/>
    <w:basedOn w:val="1"/>
    <w:qFormat/>
    <w:uiPriority w:val="99"/>
    <w:pPr>
      <w:ind w:left="200" w:hanging="200" w:hangingChars="200"/>
    </w:pPr>
    <w:rPr>
      <w:szCs w:val="20"/>
    </w:rPr>
  </w:style>
  <w:style w:type="paragraph" w:styleId="31">
    <w:name w:val="Block Text"/>
    <w:basedOn w:val="1"/>
    <w:qFormat/>
    <w:uiPriority w:val="99"/>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32">
    <w:name w:val="List Bullet 2"/>
    <w:basedOn w:val="21"/>
    <w:qFormat/>
    <w:uiPriority w:val="99"/>
    <w:pPr>
      <w:spacing w:after="220" w:line="220" w:lineRule="atLeast"/>
      <w:ind w:left="2160" w:right="720"/>
    </w:pPr>
    <w:rPr>
      <w:sz w:val="21"/>
    </w:rPr>
  </w:style>
  <w:style w:type="paragraph" w:styleId="33">
    <w:name w:val="index 4"/>
    <w:basedOn w:val="1"/>
    <w:next w:val="1"/>
    <w:qFormat/>
    <w:uiPriority w:val="0"/>
    <w:pPr>
      <w:ind w:left="840" w:hanging="210"/>
      <w:jc w:val="left"/>
    </w:pPr>
    <w:rPr>
      <w:szCs w:val="21"/>
    </w:rPr>
  </w:style>
  <w:style w:type="paragraph" w:styleId="34">
    <w:name w:val="toc 5"/>
    <w:basedOn w:val="1"/>
    <w:next w:val="1"/>
    <w:qFormat/>
    <w:uiPriority w:val="39"/>
    <w:pPr>
      <w:ind w:left="840"/>
      <w:jc w:val="left"/>
    </w:pPr>
    <w:rPr>
      <w:rFonts w:ascii="Calibri" w:hAnsi="Calibri"/>
      <w:sz w:val="18"/>
      <w:szCs w:val="18"/>
    </w:rPr>
  </w:style>
  <w:style w:type="paragraph" w:styleId="35">
    <w:name w:val="toc 3"/>
    <w:basedOn w:val="1"/>
    <w:next w:val="1"/>
    <w:qFormat/>
    <w:uiPriority w:val="39"/>
    <w:pPr>
      <w:ind w:left="420"/>
      <w:jc w:val="left"/>
    </w:pPr>
    <w:rPr>
      <w:rFonts w:ascii="Calibri" w:hAnsi="Calibri"/>
      <w:i/>
      <w:iCs/>
      <w:sz w:val="20"/>
      <w:szCs w:val="20"/>
    </w:rPr>
  </w:style>
  <w:style w:type="paragraph" w:styleId="36">
    <w:name w:val="Plain Text"/>
    <w:basedOn w:val="1"/>
    <w:link w:val="110"/>
    <w:qFormat/>
    <w:uiPriority w:val="99"/>
    <w:rPr>
      <w:rFonts w:ascii="宋体" w:hAnsi="Courier New" w:cs="Courier New"/>
      <w:szCs w:val="21"/>
    </w:rPr>
  </w:style>
  <w:style w:type="paragraph" w:styleId="37">
    <w:name w:val="toc 8"/>
    <w:basedOn w:val="1"/>
    <w:next w:val="1"/>
    <w:qFormat/>
    <w:uiPriority w:val="39"/>
    <w:pPr>
      <w:ind w:left="1470"/>
      <w:jc w:val="left"/>
    </w:pPr>
    <w:rPr>
      <w:rFonts w:ascii="Calibri" w:hAnsi="Calibri"/>
      <w:sz w:val="18"/>
      <w:szCs w:val="18"/>
    </w:rPr>
  </w:style>
  <w:style w:type="paragraph" w:styleId="38">
    <w:name w:val="index 3"/>
    <w:basedOn w:val="1"/>
    <w:next w:val="1"/>
    <w:qFormat/>
    <w:uiPriority w:val="0"/>
    <w:pPr>
      <w:ind w:left="630" w:hanging="210"/>
      <w:jc w:val="left"/>
    </w:pPr>
    <w:rPr>
      <w:szCs w:val="21"/>
    </w:rPr>
  </w:style>
  <w:style w:type="paragraph" w:styleId="39">
    <w:name w:val="Date"/>
    <w:basedOn w:val="1"/>
    <w:next w:val="1"/>
    <w:link w:val="157"/>
    <w:qFormat/>
    <w:uiPriority w:val="0"/>
    <w:pPr>
      <w:ind w:left="100" w:leftChars="2500"/>
    </w:pPr>
    <w:rPr>
      <w:lang w:val="zh-CN"/>
    </w:rPr>
  </w:style>
  <w:style w:type="paragraph" w:styleId="40">
    <w:name w:val="Body Text Indent 2"/>
    <w:basedOn w:val="1"/>
    <w:link w:val="159"/>
    <w:qFormat/>
    <w:uiPriority w:val="0"/>
    <w:pPr>
      <w:spacing w:line="360" w:lineRule="auto"/>
      <w:ind w:left="713" w:leftChars="179" w:hanging="212" w:hangingChars="101"/>
    </w:pPr>
    <w:rPr>
      <w:rFonts w:ascii="宋体" w:hAnsi="宋体"/>
      <w:szCs w:val="20"/>
      <w:lang w:val="zh-CN"/>
    </w:rPr>
  </w:style>
  <w:style w:type="paragraph" w:styleId="41">
    <w:name w:val="endnote text"/>
    <w:basedOn w:val="1"/>
    <w:link w:val="526"/>
    <w:qFormat/>
    <w:uiPriority w:val="0"/>
    <w:pPr>
      <w:snapToGrid w:val="0"/>
      <w:jc w:val="left"/>
    </w:pPr>
    <w:rPr>
      <w:szCs w:val="20"/>
    </w:rPr>
  </w:style>
  <w:style w:type="paragraph" w:styleId="42">
    <w:name w:val="Balloon Text"/>
    <w:basedOn w:val="1"/>
    <w:link w:val="125"/>
    <w:qFormat/>
    <w:uiPriority w:val="0"/>
    <w:rPr>
      <w:sz w:val="18"/>
      <w:szCs w:val="18"/>
      <w:lang w:val="zh-CN"/>
    </w:rPr>
  </w:style>
  <w:style w:type="paragraph" w:styleId="43">
    <w:name w:val="footer"/>
    <w:basedOn w:val="1"/>
    <w:link w:val="86"/>
    <w:qFormat/>
    <w:uiPriority w:val="99"/>
    <w:pPr>
      <w:tabs>
        <w:tab w:val="center" w:pos="4153"/>
        <w:tab w:val="right" w:pos="8306"/>
      </w:tabs>
      <w:snapToGrid w:val="0"/>
      <w:jc w:val="left"/>
    </w:pPr>
    <w:rPr>
      <w:sz w:val="18"/>
      <w:szCs w:val="18"/>
      <w:lang w:val="zh-CN"/>
    </w:rPr>
  </w:style>
  <w:style w:type="paragraph" w:styleId="44">
    <w:name w:val="Body Text First Indent 2"/>
    <w:basedOn w:val="28"/>
    <w:link w:val="119"/>
    <w:qFormat/>
    <w:uiPriority w:val="0"/>
    <w:pPr>
      <w:tabs>
        <w:tab w:val="clear" w:pos="8364"/>
      </w:tabs>
      <w:spacing w:after="120"/>
      <w:ind w:left="420" w:leftChars="200" w:right="0" w:firstLine="210" w:firstLineChars="200"/>
    </w:pPr>
    <w:rPr>
      <w:rFonts w:ascii="Times New Roman"/>
    </w:rPr>
  </w:style>
  <w:style w:type="paragraph" w:styleId="45">
    <w:name w:val="header"/>
    <w:basedOn w:val="1"/>
    <w:link w:val="180"/>
    <w:qFormat/>
    <w:uiPriority w:val="99"/>
    <w:pPr>
      <w:pBdr>
        <w:bottom w:val="single" w:color="auto" w:sz="6" w:space="1"/>
      </w:pBdr>
      <w:tabs>
        <w:tab w:val="center" w:pos="4153"/>
        <w:tab w:val="right" w:pos="8306"/>
      </w:tabs>
      <w:snapToGrid w:val="0"/>
      <w:jc w:val="center"/>
    </w:pPr>
    <w:rPr>
      <w:sz w:val="18"/>
      <w:szCs w:val="18"/>
      <w:lang w:val="zh-CN"/>
    </w:rPr>
  </w:style>
  <w:style w:type="paragraph" w:styleId="46">
    <w:name w:val="toc 1"/>
    <w:basedOn w:val="1"/>
    <w:next w:val="1"/>
    <w:qFormat/>
    <w:uiPriority w:val="39"/>
    <w:pPr>
      <w:spacing w:before="120" w:after="120"/>
      <w:jc w:val="left"/>
    </w:pPr>
    <w:rPr>
      <w:rFonts w:ascii="Calibri" w:hAnsi="Calibri"/>
      <w:b/>
      <w:bCs/>
      <w:caps/>
      <w:sz w:val="20"/>
      <w:szCs w:val="20"/>
    </w:rPr>
  </w:style>
  <w:style w:type="paragraph" w:styleId="47">
    <w:name w:val="toc 4"/>
    <w:basedOn w:val="1"/>
    <w:next w:val="1"/>
    <w:qFormat/>
    <w:uiPriority w:val="39"/>
    <w:pPr>
      <w:ind w:left="630"/>
      <w:jc w:val="left"/>
    </w:pPr>
    <w:rPr>
      <w:rFonts w:ascii="Calibri" w:hAnsi="Calibri"/>
      <w:sz w:val="18"/>
      <w:szCs w:val="18"/>
    </w:rPr>
  </w:style>
  <w:style w:type="paragraph" w:styleId="48">
    <w:name w:val="index heading"/>
    <w:basedOn w:val="1"/>
    <w:next w:val="49"/>
    <w:qFormat/>
    <w:uiPriority w:val="0"/>
    <w:rPr>
      <w:szCs w:val="20"/>
    </w:rPr>
  </w:style>
  <w:style w:type="paragraph" w:styleId="49">
    <w:name w:val="index 1"/>
    <w:basedOn w:val="1"/>
    <w:next w:val="1"/>
    <w:qFormat/>
    <w:uiPriority w:val="0"/>
  </w:style>
  <w:style w:type="paragraph" w:styleId="50">
    <w:name w:val="Subtitle"/>
    <w:basedOn w:val="1"/>
    <w:next w:val="1"/>
    <w:link w:val="92"/>
    <w:qFormat/>
    <w:uiPriority w:val="0"/>
    <w:pPr>
      <w:spacing w:before="240" w:after="60" w:line="312" w:lineRule="auto"/>
      <w:jc w:val="center"/>
      <w:outlineLvl w:val="1"/>
    </w:pPr>
    <w:rPr>
      <w:rFonts w:ascii="Cambria" w:hAnsi="Cambria"/>
      <w:b/>
      <w:bCs/>
      <w:kern w:val="28"/>
      <w:sz w:val="32"/>
      <w:szCs w:val="32"/>
      <w:lang w:val="zh-CN"/>
    </w:rPr>
  </w:style>
  <w:style w:type="paragraph" w:styleId="51">
    <w:name w:val="footnote text"/>
    <w:basedOn w:val="1"/>
    <w:link w:val="90"/>
    <w:qFormat/>
    <w:uiPriority w:val="0"/>
    <w:pPr>
      <w:snapToGrid w:val="0"/>
      <w:jc w:val="left"/>
    </w:pPr>
    <w:rPr>
      <w:sz w:val="18"/>
      <w:szCs w:val="18"/>
      <w:lang w:val="zh-CN"/>
    </w:rPr>
  </w:style>
  <w:style w:type="paragraph" w:styleId="52">
    <w:name w:val="toc 6"/>
    <w:basedOn w:val="1"/>
    <w:next w:val="1"/>
    <w:qFormat/>
    <w:uiPriority w:val="39"/>
    <w:pPr>
      <w:ind w:left="1050"/>
      <w:jc w:val="left"/>
    </w:pPr>
    <w:rPr>
      <w:rFonts w:ascii="Calibri" w:hAnsi="Calibri"/>
      <w:sz w:val="18"/>
      <w:szCs w:val="18"/>
    </w:rPr>
  </w:style>
  <w:style w:type="paragraph" w:styleId="53">
    <w:name w:val="Body Text Indent 3"/>
    <w:basedOn w:val="1"/>
    <w:link w:val="117"/>
    <w:qFormat/>
    <w:uiPriority w:val="0"/>
    <w:pPr>
      <w:spacing w:after="120"/>
      <w:ind w:left="420" w:leftChars="200"/>
    </w:pPr>
    <w:rPr>
      <w:sz w:val="16"/>
      <w:szCs w:val="16"/>
      <w:lang w:val="zh-CN"/>
    </w:rPr>
  </w:style>
  <w:style w:type="paragraph" w:styleId="54">
    <w:name w:val="index 7"/>
    <w:basedOn w:val="1"/>
    <w:next w:val="1"/>
    <w:qFormat/>
    <w:uiPriority w:val="0"/>
    <w:pPr>
      <w:ind w:left="1470" w:hanging="210"/>
      <w:jc w:val="left"/>
    </w:pPr>
    <w:rPr>
      <w:szCs w:val="21"/>
    </w:rPr>
  </w:style>
  <w:style w:type="paragraph" w:styleId="55">
    <w:name w:val="index 9"/>
    <w:basedOn w:val="1"/>
    <w:next w:val="1"/>
    <w:qFormat/>
    <w:uiPriority w:val="0"/>
    <w:pPr>
      <w:ind w:left="1890" w:hanging="210"/>
      <w:jc w:val="left"/>
    </w:pPr>
    <w:rPr>
      <w:szCs w:val="21"/>
    </w:rPr>
  </w:style>
  <w:style w:type="paragraph" w:styleId="56">
    <w:name w:val="toc 2"/>
    <w:basedOn w:val="1"/>
    <w:next w:val="1"/>
    <w:qFormat/>
    <w:uiPriority w:val="39"/>
    <w:pPr>
      <w:ind w:left="210"/>
      <w:jc w:val="left"/>
    </w:pPr>
    <w:rPr>
      <w:rFonts w:ascii="Calibri" w:hAnsi="Calibri"/>
      <w:smallCaps/>
      <w:sz w:val="20"/>
      <w:szCs w:val="20"/>
    </w:rPr>
  </w:style>
  <w:style w:type="paragraph" w:styleId="57">
    <w:name w:val="toc 9"/>
    <w:basedOn w:val="1"/>
    <w:next w:val="1"/>
    <w:qFormat/>
    <w:uiPriority w:val="39"/>
    <w:pPr>
      <w:ind w:left="1680"/>
      <w:jc w:val="left"/>
    </w:pPr>
    <w:rPr>
      <w:rFonts w:ascii="Calibri" w:hAnsi="Calibri"/>
      <w:sz w:val="18"/>
      <w:szCs w:val="18"/>
    </w:rPr>
  </w:style>
  <w:style w:type="paragraph" w:styleId="58">
    <w:name w:val="Body Text 2"/>
    <w:basedOn w:val="1"/>
    <w:link w:val="176"/>
    <w:qFormat/>
    <w:uiPriority w:val="99"/>
    <w:pPr>
      <w:spacing w:after="120" w:line="480" w:lineRule="auto"/>
    </w:pPr>
    <w:rPr>
      <w:kern w:val="0"/>
      <w:sz w:val="20"/>
      <w:szCs w:val="20"/>
    </w:rPr>
  </w:style>
  <w:style w:type="paragraph" w:styleId="59">
    <w:name w:val="List 4"/>
    <w:basedOn w:val="1"/>
    <w:unhideWhenUsed/>
    <w:qFormat/>
    <w:uiPriority w:val="99"/>
    <w:pPr>
      <w:ind w:left="100" w:leftChars="600" w:hanging="200" w:hangingChars="200"/>
      <w:contextualSpacing/>
    </w:pPr>
    <w:rPr>
      <w:szCs w:val="20"/>
    </w:rPr>
  </w:style>
  <w:style w:type="paragraph" w:styleId="6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61">
    <w:name w:val="index 2"/>
    <w:basedOn w:val="1"/>
    <w:next w:val="1"/>
    <w:qFormat/>
    <w:uiPriority w:val="0"/>
    <w:pPr>
      <w:widowControl/>
      <w:ind w:left="420"/>
      <w:jc w:val="left"/>
    </w:pPr>
    <w:rPr>
      <w:kern w:val="0"/>
      <w:szCs w:val="20"/>
    </w:rPr>
  </w:style>
  <w:style w:type="paragraph" w:styleId="62">
    <w:name w:val="Title"/>
    <w:basedOn w:val="1"/>
    <w:next w:val="1"/>
    <w:link w:val="114"/>
    <w:qFormat/>
    <w:uiPriority w:val="0"/>
    <w:pPr>
      <w:spacing w:before="240" w:after="60"/>
      <w:jc w:val="center"/>
      <w:outlineLvl w:val="0"/>
    </w:pPr>
    <w:rPr>
      <w:rFonts w:ascii="Cambria" w:hAnsi="Cambria"/>
      <w:b/>
      <w:bCs/>
      <w:sz w:val="32"/>
      <w:szCs w:val="32"/>
      <w:lang w:val="zh-CN"/>
    </w:r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basedOn w:val="63"/>
    <w:qFormat/>
    <w:uiPriority w:val="0"/>
  </w:style>
  <w:style w:type="character" w:styleId="67">
    <w:name w:val="FollowedHyperlink"/>
    <w:unhideWhenUsed/>
    <w:qFormat/>
    <w:uiPriority w:val="99"/>
    <w:rPr>
      <w:color w:val="800080"/>
      <w:u w:val="single"/>
    </w:rPr>
  </w:style>
  <w:style w:type="character" w:styleId="68">
    <w:name w:val="Emphasis"/>
    <w:qFormat/>
    <w:uiPriority w:val="0"/>
    <w:rPr>
      <w:color w:val="CC0000"/>
    </w:rPr>
  </w:style>
  <w:style w:type="character" w:styleId="69">
    <w:name w:val="Hyperlink"/>
    <w:qFormat/>
    <w:uiPriority w:val="99"/>
    <w:rPr>
      <w:color w:val="0000FF"/>
      <w:u w:val="single"/>
    </w:rPr>
  </w:style>
  <w:style w:type="character" w:styleId="70">
    <w:name w:val="HTML Code"/>
    <w:qFormat/>
    <w:uiPriority w:val="0"/>
    <w:rPr>
      <w:rFonts w:ascii="Menlo" w:hAnsi="Menlo" w:eastAsia="Menlo" w:cs="Menlo"/>
      <w:color w:val="DD1144"/>
      <w:sz w:val="21"/>
      <w:szCs w:val="21"/>
      <w:bdr w:val="single" w:color="E1E1E8" w:sz="6" w:space="0"/>
      <w:shd w:val="clear" w:color="auto" w:fill="F7F7F9"/>
    </w:rPr>
  </w:style>
  <w:style w:type="character" w:styleId="71">
    <w:name w:val="annotation reference"/>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6">
    <w:name w:val="正文缩进 字符"/>
    <w:link w:val="4"/>
    <w:qFormat/>
    <w:uiPriority w:val="0"/>
    <w:rPr>
      <w:kern w:val="2"/>
      <w:sz w:val="21"/>
      <w:szCs w:val="24"/>
    </w:rPr>
  </w:style>
  <w:style w:type="character" w:customStyle="1" w:styleId="77">
    <w:name w:val="CN Level 3 Text Char Char Char"/>
    <w:link w:val="78"/>
    <w:qFormat/>
    <w:uiPriority w:val="0"/>
    <w:rPr>
      <w:rFonts w:ascii="Arial" w:hAnsi="Arial"/>
      <w:kern w:val="2"/>
      <w:sz w:val="21"/>
      <w:szCs w:val="18"/>
      <w:lang w:eastAsia="en-US"/>
    </w:rPr>
  </w:style>
  <w:style w:type="paragraph" w:customStyle="1" w:styleId="78">
    <w:name w:val="CN Level 3 Text Char Char"/>
    <w:basedOn w:val="79"/>
    <w:link w:val="77"/>
    <w:qFormat/>
    <w:uiPriority w:val="0"/>
    <w:pPr>
      <w:numPr>
        <w:ilvl w:val="5"/>
        <w:numId w:val="1"/>
      </w:numPr>
      <w:tabs>
        <w:tab w:val="left" w:pos="360"/>
        <w:tab w:val="left" w:pos="840"/>
      </w:tabs>
      <w:ind w:left="360"/>
    </w:pPr>
    <w:rPr>
      <w:lang w:val="zh-CN"/>
    </w:rPr>
  </w:style>
  <w:style w:type="paragraph" w:customStyle="1" w:styleId="79">
    <w:name w:val="CN Paragraph Char Char"/>
    <w:link w:val="158"/>
    <w:qFormat/>
    <w:uiPriority w:val="0"/>
    <w:pPr>
      <w:tabs>
        <w:tab w:val="left" w:pos="840"/>
      </w:tabs>
      <w:spacing w:before="28" w:after="28"/>
      <w:ind w:left="840" w:hanging="420"/>
    </w:pPr>
    <w:rPr>
      <w:rFonts w:ascii="Arial" w:hAnsi="Arial" w:eastAsia="宋体" w:cs="Times New Roman"/>
      <w:kern w:val="2"/>
      <w:sz w:val="21"/>
      <w:szCs w:val="18"/>
      <w:lang w:val="en-US" w:eastAsia="en-US" w:bidi="ar-SA"/>
    </w:rPr>
  </w:style>
  <w:style w:type="character" w:customStyle="1" w:styleId="80">
    <w:name w:val="标题 7 字符"/>
    <w:link w:val="9"/>
    <w:qFormat/>
    <w:uiPriority w:val="0"/>
    <w:rPr>
      <w:b/>
      <w:kern w:val="2"/>
      <w:sz w:val="24"/>
    </w:rPr>
  </w:style>
  <w:style w:type="character" w:customStyle="1" w:styleId="81">
    <w:name w:val="正文文本缩进 Char1"/>
    <w:qFormat/>
    <w:uiPriority w:val="99"/>
    <w:rPr>
      <w:rFonts w:eastAsia="楷体_GB2312"/>
      <w:kern w:val="32"/>
      <w:sz w:val="32"/>
    </w:rPr>
  </w:style>
  <w:style w:type="character" w:customStyle="1" w:styleId="82">
    <w:name w:val="标题 9 字符"/>
    <w:link w:val="11"/>
    <w:qFormat/>
    <w:uiPriority w:val="0"/>
    <w:rPr>
      <w:rFonts w:ascii="Arial" w:hAnsi="Arial" w:eastAsia="黑体"/>
      <w:kern w:val="2"/>
      <w:sz w:val="21"/>
    </w:rPr>
  </w:style>
  <w:style w:type="character" w:customStyle="1" w:styleId="83">
    <w:name w:val="正文文本缩进 3 Char1"/>
    <w:qFormat/>
    <w:uiPriority w:val="99"/>
    <w:rPr>
      <w:kern w:val="2"/>
      <w:sz w:val="16"/>
      <w:szCs w:val="16"/>
    </w:rPr>
  </w:style>
  <w:style w:type="character" w:customStyle="1" w:styleId="84">
    <w:name w:val="文档结构图 字符"/>
    <w:link w:val="22"/>
    <w:qFormat/>
    <w:uiPriority w:val="0"/>
    <w:rPr>
      <w:kern w:val="2"/>
      <w:sz w:val="21"/>
      <w:szCs w:val="24"/>
      <w:shd w:val="clear" w:color="auto" w:fill="000080"/>
    </w:rPr>
  </w:style>
  <w:style w:type="character" w:customStyle="1" w:styleId="85">
    <w:name w:val="标题 Char1"/>
    <w:qFormat/>
    <w:uiPriority w:val="10"/>
    <w:rPr>
      <w:rFonts w:ascii="Cambria" w:hAnsi="Cambria" w:cs="Times New Roman"/>
      <w:b/>
      <w:bCs/>
      <w:kern w:val="2"/>
      <w:sz w:val="32"/>
      <w:szCs w:val="32"/>
    </w:rPr>
  </w:style>
  <w:style w:type="character" w:customStyle="1" w:styleId="86">
    <w:name w:val="页脚 字符"/>
    <w:link w:val="43"/>
    <w:qFormat/>
    <w:uiPriority w:val="99"/>
    <w:rPr>
      <w:kern w:val="2"/>
      <w:sz w:val="18"/>
      <w:szCs w:val="18"/>
    </w:rPr>
  </w:style>
  <w:style w:type="character" w:customStyle="1" w:styleId="87">
    <w:name w:val="pwc body text Char"/>
    <w:link w:val="88"/>
    <w:qFormat/>
    <w:uiPriority w:val="0"/>
    <w:rPr>
      <w:rFonts w:ascii="Arial" w:hAnsi="Arial"/>
      <w:sz w:val="24"/>
      <w:szCs w:val="24"/>
      <w:lang w:val="en-GB"/>
    </w:rPr>
  </w:style>
  <w:style w:type="paragraph" w:customStyle="1" w:styleId="88">
    <w:name w:val="pwc body text"/>
    <w:basedOn w:val="1"/>
    <w:link w:val="87"/>
    <w:qFormat/>
    <w:uiPriority w:val="0"/>
    <w:pPr>
      <w:widowControl/>
      <w:spacing w:before="60"/>
      <w:ind w:left="680"/>
    </w:pPr>
    <w:rPr>
      <w:rFonts w:ascii="Arial" w:hAnsi="Arial"/>
      <w:kern w:val="0"/>
      <w:sz w:val="24"/>
      <w:lang w:val="en-GB"/>
    </w:rPr>
  </w:style>
  <w:style w:type="character" w:customStyle="1" w:styleId="89">
    <w:name w:val="正文首行缩进 2 Char1"/>
    <w:qFormat/>
    <w:uiPriority w:val="0"/>
    <w:rPr>
      <w:rFonts w:ascii="宋体"/>
      <w:kern w:val="2"/>
      <w:sz w:val="21"/>
      <w:szCs w:val="24"/>
    </w:rPr>
  </w:style>
  <w:style w:type="character" w:customStyle="1" w:styleId="90">
    <w:name w:val="脚注文本 字符"/>
    <w:link w:val="51"/>
    <w:qFormat/>
    <w:uiPriority w:val="0"/>
    <w:rPr>
      <w:kern w:val="2"/>
      <w:sz w:val="18"/>
      <w:szCs w:val="18"/>
    </w:rPr>
  </w:style>
  <w:style w:type="character" w:customStyle="1" w:styleId="91">
    <w:name w:val="short_text"/>
    <w:qFormat/>
    <w:uiPriority w:val="0"/>
  </w:style>
  <w:style w:type="character" w:customStyle="1" w:styleId="92">
    <w:name w:val="副标题 字符"/>
    <w:link w:val="50"/>
    <w:qFormat/>
    <w:uiPriority w:val="0"/>
    <w:rPr>
      <w:rFonts w:ascii="Cambria" w:hAnsi="Cambria"/>
      <w:b/>
      <w:bCs/>
      <w:kern w:val="28"/>
      <w:sz w:val="32"/>
      <w:szCs w:val="32"/>
    </w:rPr>
  </w:style>
  <w:style w:type="character" w:customStyle="1" w:styleId="93">
    <w:name w:val="font101"/>
    <w:qFormat/>
    <w:uiPriority w:val="0"/>
    <w:rPr>
      <w:rFonts w:hint="eastAsia" w:ascii="宋体" w:hAnsi="宋体" w:eastAsia="宋体"/>
      <w:i/>
      <w:iCs/>
      <w:color w:val="000000"/>
      <w:sz w:val="20"/>
      <w:szCs w:val="20"/>
      <w:u w:val="none"/>
    </w:rPr>
  </w:style>
  <w:style w:type="character" w:customStyle="1" w:styleId="94">
    <w:name w:val="font51"/>
    <w:qFormat/>
    <w:uiPriority w:val="0"/>
    <w:rPr>
      <w:rFonts w:hint="eastAsia" w:ascii="楷体_GB2312" w:eastAsia="楷体_GB2312" w:cs="楷体_GB2312"/>
      <w:color w:val="000000"/>
      <w:sz w:val="16"/>
      <w:szCs w:val="16"/>
      <w:u w:val="none"/>
    </w:rPr>
  </w:style>
  <w:style w:type="character" w:customStyle="1" w:styleId="95">
    <w:name w:val="font111"/>
    <w:qFormat/>
    <w:uiPriority w:val="0"/>
    <w:rPr>
      <w:rFonts w:hint="eastAsia" w:ascii="宋体" w:hAnsi="宋体" w:eastAsia="宋体"/>
      <w:b/>
      <w:bCs/>
      <w:color w:val="000000"/>
      <w:sz w:val="20"/>
      <w:szCs w:val="20"/>
      <w:u w:val="none"/>
    </w:rPr>
  </w:style>
  <w:style w:type="character" w:customStyle="1" w:styleId="96">
    <w:name w:val="正文文本首行缩进 字符"/>
    <w:link w:val="16"/>
    <w:qFormat/>
    <w:uiPriority w:val="0"/>
    <w:rPr>
      <w:rFonts w:ascii="Calibri" w:hAnsi="Calibri" w:eastAsia="仿宋_GB2312" w:cs="Calibri"/>
      <w:color w:val="000000"/>
      <w:kern w:val="2"/>
      <w:sz w:val="28"/>
      <w:szCs w:val="28"/>
      <w:lang w:val="en-US" w:eastAsia="zh-CN" w:bidi="ar-SA"/>
    </w:rPr>
  </w:style>
  <w:style w:type="character" w:customStyle="1" w:styleId="97">
    <w:name w:val="font61"/>
    <w:qFormat/>
    <w:uiPriority w:val="0"/>
    <w:rPr>
      <w:rFonts w:ascii="Arial" w:hAnsi="Arial" w:cs="Arial"/>
      <w:b/>
      <w:color w:val="003366"/>
      <w:sz w:val="16"/>
      <w:szCs w:val="16"/>
      <w:u w:val="none"/>
    </w:rPr>
  </w:style>
  <w:style w:type="character" w:customStyle="1" w:styleId="98">
    <w:name w:val="font121"/>
    <w:qFormat/>
    <w:uiPriority w:val="0"/>
    <w:rPr>
      <w:rFonts w:ascii="Arial" w:hAnsi="Arial" w:cs="Arial"/>
      <w:color w:val="000000"/>
      <w:sz w:val="16"/>
      <w:szCs w:val="16"/>
      <w:u w:val="none"/>
    </w:rPr>
  </w:style>
  <w:style w:type="character" w:customStyle="1" w:styleId="99">
    <w:name w:val="font181"/>
    <w:qFormat/>
    <w:uiPriority w:val="0"/>
    <w:rPr>
      <w:rFonts w:hint="eastAsia" w:ascii="楷体_GB2312" w:eastAsia="楷体_GB2312" w:cs="楷体_GB2312"/>
      <w:b/>
      <w:color w:val="000000"/>
      <w:sz w:val="16"/>
      <w:szCs w:val="16"/>
      <w:u w:val="none"/>
    </w:rPr>
  </w:style>
  <w:style w:type="character" w:customStyle="1" w:styleId="100">
    <w:name w:val="font11"/>
    <w:qFormat/>
    <w:uiPriority w:val="0"/>
    <w:rPr>
      <w:rFonts w:ascii="Arial" w:hAnsi="Arial" w:cs="Arial"/>
      <w:color w:val="000000"/>
      <w:sz w:val="16"/>
      <w:szCs w:val="16"/>
      <w:u w:val="none"/>
    </w:rPr>
  </w:style>
  <w:style w:type="character" w:customStyle="1" w:styleId="101">
    <w:name w:val="正文文本 2 Char1"/>
    <w:qFormat/>
    <w:uiPriority w:val="0"/>
    <w:rPr>
      <w:kern w:val="2"/>
      <w:sz w:val="21"/>
      <w:szCs w:val="24"/>
    </w:rPr>
  </w:style>
  <w:style w:type="character" w:customStyle="1" w:styleId="102">
    <w:name w:val="font41"/>
    <w:qFormat/>
    <w:uiPriority w:val="0"/>
    <w:rPr>
      <w:rFonts w:hint="eastAsia" w:ascii="楷体_GB2312" w:eastAsia="楷体_GB2312" w:cs="楷体_GB2312"/>
      <w:b/>
      <w:color w:val="000000"/>
      <w:sz w:val="16"/>
      <w:szCs w:val="16"/>
      <w:u w:val="none"/>
    </w:rPr>
  </w:style>
  <w:style w:type="character" w:customStyle="1" w:styleId="103">
    <w:name w:val="Char Char5"/>
    <w:qFormat/>
    <w:uiPriority w:val="0"/>
    <w:rPr>
      <w:rFonts w:ascii="宋体" w:hAnsi="宋体" w:eastAsia="宋体"/>
      <w:kern w:val="2"/>
      <w:sz w:val="24"/>
      <w:szCs w:val="24"/>
      <w:lang w:val="en-US" w:eastAsia="zh-CN" w:bidi="ar-SA"/>
    </w:rPr>
  </w:style>
  <w:style w:type="character" w:customStyle="1" w:styleId="104">
    <w:name w:val="节 Char"/>
    <w:link w:val="105"/>
    <w:qFormat/>
    <w:uiPriority w:val="0"/>
    <w:rPr>
      <w:rFonts w:ascii="黑体" w:hAnsi="Arial" w:eastAsia="黑体"/>
      <w:bCs/>
      <w:sz w:val="28"/>
      <w:szCs w:val="28"/>
      <w:lang w:val="zh-CN"/>
    </w:rPr>
  </w:style>
  <w:style w:type="paragraph" w:customStyle="1" w:styleId="105">
    <w:name w:val="节"/>
    <w:basedOn w:val="3"/>
    <w:link w:val="104"/>
    <w:qFormat/>
    <w:uiPriority w:val="0"/>
    <w:pPr>
      <w:tabs>
        <w:tab w:val="left" w:pos="576"/>
        <w:tab w:val="left" w:pos="1140"/>
      </w:tabs>
      <w:autoSpaceDE/>
      <w:autoSpaceDN/>
      <w:adjustRightInd/>
      <w:spacing w:line="240" w:lineRule="auto"/>
      <w:ind w:left="1140" w:hanging="720"/>
      <w:textAlignment w:val="auto"/>
    </w:pPr>
    <w:rPr>
      <w:rFonts w:ascii="黑体" w:hAnsi="Arial" w:eastAsia="黑体"/>
      <w:bCs/>
      <w:sz w:val="28"/>
      <w:szCs w:val="28"/>
    </w:rPr>
  </w:style>
  <w:style w:type="character" w:customStyle="1" w:styleId="106">
    <w:name w:val="结束语 字符"/>
    <w:link w:val="27"/>
    <w:qFormat/>
    <w:uiPriority w:val="0"/>
    <w:rPr>
      <w:rFonts w:hAnsi="宋体"/>
      <w:szCs w:val="21"/>
    </w:rPr>
  </w:style>
  <w:style w:type="character" w:customStyle="1" w:styleId="107">
    <w:name w:val="正文非缩进 Char Char Char Char Char Char Char Char Char Char Char Char Char Char"/>
    <w:qFormat/>
    <w:uiPriority w:val="0"/>
    <w:rPr>
      <w:rFonts w:eastAsia="宋体"/>
      <w:kern w:val="2"/>
      <w:sz w:val="21"/>
      <w:szCs w:val="24"/>
      <w:lang w:val="en-US" w:eastAsia="zh-CN" w:bidi="ar-SA"/>
    </w:rPr>
  </w:style>
  <w:style w:type="character" w:customStyle="1" w:styleId="108">
    <w:name w:val="普通文字1 Char"/>
    <w:qFormat/>
    <w:uiPriority w:val="0"/>
    <w:rPr>
      <w:rFonts w:ascii="宋体" w:hAnsi="Courier New" w:eastAsia="宋体" w:cs="Courier New"/>
      <w:kern w:val="2"/>
      <w:sz w:val="21"/>
      <w:szCs w:val="21"/>
      <w:lang w:val="en-US" w:eastAsia="zh-CN" w:bidi="ar-SA"/>
    </w:rPr>
  </w:style>
  <w:style w:type="character" w:customStyle="1" w:styleId="109">
    <w:name w:val="批注框文本 Char1"/>
    <w:qFormat/>
    <w:uiPriority w:val="99"/>
    <w:rPr>
      <w:sz w:val="18"/>
      <w:szCs w:val="18"/>
    </w:rPr>
  </w:style>
  <w:style w:type="character" w:customStyle="1" w:styleId="110">
    <w:name w:val="纯文本 字符"/>
    <w:link w:val="36"/>
    <w:qFormat/>
    <w:uiPriority w:val="99"/>
    <w:rPr>
      <w:rFonts w:ascii="宋体" w:hAnsi="Courier New" w:eastAsia="宋体" w:cs="Courier New"/>
      <w:kern w:val="2"/>
      <w:sz w:val="21"/>
      <w:szCs w:val="21"/>
      <w:lang w:val="en-US" w:eastAsia="zh-CN" w:bidi="ar-SA"/>
    </w:rPr>
  </w:style>
  <w:style w:type="character" w:customStyle="1" w:styleId="111">
    <w:name w:val="子 Char"/>
    <w:qFormat/>
    <w:uiPriority w:val="0"/>
    <w:rPr>
      <w:rFonts w:ascii="Arial" w:hAnsi="Arial" w:eastAsia="黑体"/>
      <w:kern w:val="2"/>
      <w:sz w:val="32"/>
    </w:rPr>
  </w:style>
  <w:style w:type="character" w:customStyle="1" w:styleId="112">
    <w:name w:val="正文文本 字符"/>
    <w:link w:val="17"/>
    <w:qFormat/>
    <w:uiPriority w:val="0"/>
    <w:rPr>
      <w:rFonts w:ascii="Arial" w:hAnsi="Arial" w:eastAsia="宋体"/>
      <w:color w:val="000000"/>
      <w:kern w:val="2"/>
      <w:sz w:val="21"/>
      <w:szCs w:val="24"/>
      <w:lang w:val="en-US" w:eastAsia="zh-CN" w:bidi="ar-SA"/>
    </w:rPr>
  </w:style>
  <w:style w:type="character" w:customStyle="1" w:styleId="113">
    <w:name w:val="正文文本 3 字符"/>
    <w:link w:val="26"/>
    <w:qFormat/>
    <w:uiPriority w:val="0"/>
    <w:rPr>
      <w:rFonts w:ascii="宋体" w:hAnsi="宋体"/>
      <w:kern w:val="2"/>
      <w:sz w:val="16"/>
      <w:szCs w:val="16"/>
    </w:rPr>
  </w:style>
  <w:style w:type="character" w:customStyle="1" w:styleId="114">
    <w:name w:val="标题 字符"/>
    <w:link w:val="62"/>
    <w:qFormat/>
    <w:uiPriority w:val="0"/>
    <w:rPr>
      <w:rFonts w:ascii="Cambria" w:hAnsi="Cambria"/>
      <w:b/>
      <w:bCs/>
      <w:kern w:val="2"/>
      <w:sz w:val="32"/>
      <w:szCs w:val="32"/>
    </w:rPr>
  </w:style>
  <w:style w:type="character" w:customStyle="1" w:styleId="115">
    <w:name w:val="txtcontent1"/>
    <w:qFormat/>
    <w:uiPriority w:val="0"/>
  </w:style>
  <w:style w:type="character" w:customStyle="1" w:styleId="116">
    <w:name w:val="标题 2 字符"/>
    <w:link w:val="3"/>
    <w:qFormat/>
    <w:uiPriority w:val="9"/>
    <w:rPr>
      <w:rFonts w:ascii="楷体_GB2312" w:eastAsia="楷体_GB2312"/>
      <w:sz w:val="30"/>
    </w:rPr>
  </w:style>
  <w:style w:type="character" w:customStyle="1" w:styleId="117">
    <w:name w:val="正文文本缩进 3 字符"/>
    <w:link w:val="53"/>
    <w:qFormat/>
    <w:locked/>
    <w:uiPriority w:val="0"/>
    <w:rPr>
      <w:kern w:val="2"/>
      <w:sz w:val="16"/>
      <w:szCs w:val="16"/>
    </w:rPr>
  </w:style>
  <w:style w:type="character" w:customStyle="1" w:styleId="118">
    <w:name w:val="wfc-serialno-text"/>
    <w:qFormat/>
    <w:uiPriority w:val="0"/>
    <w:rPr>
      <w:sz w:val="21"/>
      <w:szCs w:val="21"/>
    </w:rPr>
  </w:style>
  <w:style w:type="character" w:customStyle="1" w:styleId="119">
    <w:name w:val="正文文本首行缩进 2 字符"/>
    <w:basedOn w:val="120"/>
    <w:link w:val="44"/>
    <w:qFormat/>
    <w:uiPriority w:val="0"/>
    <w:rPr>
      <w:kern w:val="2"/>
      <w:sz w:val="21"/>
      <w:szCs w:val="24"/>
    </w:rPr>
  </w:style>
  <w:style w:type="character" w:customStyle="1" w:styleId="120">
    <w:name w:val="正文文本缩进 Char"/>
    <w:link w:val="121"/>
    <w:qFormat/>
    <w:uiPriority w:val="99"/>
    <w:rPr>
      <w:kern w:val="2"/>
      <w:sz w:val="21"/>
      <w:szCs w:val="24"/>
    </w:rPr>
  </w:style>
  <w:style w:type="paragraph" w:customStyle="1" w:styleId="121">
    <w:name w:val="正文文本缩进1"/>
    <w:basedOn w:val="1"/>
    <w:link w:val="120"/>
    <w:qFormat/>
    <w:uiPriority w:val="0"/>
    <w:pPr>
      <w:ind w:left="630" w:hanging="630" w:hangingChars="300"/>
    </w:pPr>
    <w:rPr>
      <w:lang w:val="zh-CN"/>
    </w:rPr>
  </w:style>
  <w:style w:type="character" w:customStyle="1" w:styleId="122">
    <w:name w:val="标题 5 字符"/>
    <w:link w:val="7"/>
    <w:qFormat/>
    <w:uiPriority w:val="0"/>
    <w:rPr>
      <w:rFonts w:ascii="Arial" w:hAnsi="Arial"/>
      <w:color w:val="000000"/>
      <w:kern w:val="2"/>
      <w:sz w:val="24"/>
      <w:szCs w:val="24"/>
    </w:rPr>
  </w:style>
  <w:style w:type="character" w:customStyle="1" w:styleId="123">
    <w:name w:val="标题 8 字符"/>
    <w:link w:val="10"/>
    <w:qFormat/>
    <w:uiPriority w:val="0"/>
    <w:rPr>
      <w:rFonts w:ascii="Arial" w:hAnsi="Arial" w:eastAsia="黑体"/>
      <w:kern w:val="2"/>
      <w:sz w:val="24"/>
    </w:rPr>
  </w:style>
  <w:style w:type="character" w:customStyle="1" w:styleId="124">
    <w:name w:val="普通文字 Char Char1"/>
    <w:qFormat/>
    <w:uiPriority w:val="0"/>
    <w:rPr>
      <w:rFonts w:ascii="宋体" w:hAnsi="Courier New" w:eastAsia="宋体" w:cs="Courier New"/>
      <w:szCs w:val="21"/>
    </w:rPr>
  </w:style>
  <w:style w:type="character" w:customStyle="1" w:styleId="125">
    <w:name w:val="批注框文本 字符"/>
    <w:link w:val="42"/>
    <w:qFormat/>
    <w:uiPriority w:val="99"/>
    <w:rPr>
      <w:kern w:val="2"/>
      <w:sz w:val="18"/>
      <w:szCs w:val="18"/>
    </w:rPr>
  </w:style>
  <w:style w:type="character" w:customStyle="1" w:styleId="126">
    <w:name w:val="font31"/>
    <w:qFormat/>
    <w:uiPriority w:val="0"/>
    <w:rPr>
      <w:rFonts w:hint="eastAsia" w:ascii="宋体" w:hAnsi="宋体" w:eastAsia="宋体"/>
      <w:color w:val="000000"/>
      <w:sz w:val="20"/>
      <w:szCs w:val="20"/>
      <w:u w:val="none"/>
    </w:rPr>
  </w:style>
  <w:style w:type="character" w:customStyle="1" w:styleId="127">
    <w:name w:val="标题 3 Char2"/>
    <w:qFormat/>
    <w:uiPriority w:val="0"/>
    <w:rPr>
      <w:b/>
      <w:bCs/>
      <w:kern w:val="2"/>
      <w:sz w:val="32"/>
      <w:szCs w:val="32"/>
    </w:rPr>
  </w:style>
  <w:style w:type="character" w:customStyle="1" w:styleId="128">
    <w:name w:val="font91"/>
    <w:qFormat/>
    <w:uiPriority w:val="0"/>
    <w:rPr>
      <w:rFonts w:hint="eastAsia" w:ascii="宋体" w:hAnsi="宋体" w:eastAsia="宋体"/>
      <w:b/>
      <w:bCs/>
      <w:color w:val="000000"/>
      <w:sz w:val="16"/>
      <w:szCs w:val="16"/>
      <w:u w:val="none"/>
    </w:rPr>
  </w:style>
  <w:style w:type="character" w:customStyle="1" w:styleId="129">
    <w:name w:val="font141"/>
    <w:qFormat/>
    <w:uiPriority w:val="0"/>
    <w:rPr>
      <w:rFonts w:ascii="Tahoma" w:hAnsi="Tahoma" w:eastAsia="Tahoma" w:cs="Tahoma"/>
      <w:color w:val="000000"/>
      <w:sz w:val="16"/>
      <w:szCs w:val="16"/>
      <w:u w:val="none"/>
    </w:rPr>
  </w:style>
  <w:style w:type="character" w:customStyle="1" w:styleId="130">
    <w:name w:val="正文文本缩进 2 Char1"/>
    <w:qFormat/>
    <w:uiPriority w:val="99"/>
    <w:rPr>
      <w:kern w:val="2"/>
      <w:sz w:val="21"/>
      <w:szCs w:val="24"/>
    </w:rPr>
  </w:style>
  <w:style w:type="character" w:customStyle="1" w:styleId="131">
    <w:name w:val="样式 正文（首行缩进两字） + (西文) 华文楷体 Char Char Char"/>
    <w:link w:val="132"/>
    <w:qFormat/>
    <w:uiPriority w:val="0"/>
    <w:rPr>
      <w:rFonts w:ascii="华文楷体" w:hAnsi="华文楷体" w:eastAsia="楷体_GB2312"/>
      <w:sz w:val="24"/>
      <w:szCs w:val="24"/>
    </w:rPr>
  </w:style>
  <w:style w:type="paragraph" w:customStyle="1" w:styleId="132">
    <w:name w:val="样式 正文（首行缩进两字） + (西文) 华文楷体 Char Char"/>
    <w:basedOn w:val="4"/>
    <w:link w:val="131"/>
    <w:qFormat/>
    <w:uiPriority w:val="0"/>
    <w:pPr>
      <w:snapToGrid w:val="0"/>
      <w:spacing w:line="300" w:lineRule="auto"/>
      <w:ind w:firstLine="0" w:firstLineChars="0"/>
    </w:pPr>
    <w:rPr>
      <w:rFonts w:ascii="华文楷体" w:hAnsi="华文楷体" w:eastAsia="楷体_GB2312"/>
      <w:kern w:val="0"/>
      <w:sz w:val="24"/>
    </w:rPr>
  </w:style>
  <w:style w:type="character" w:customStyle="1" w:styleId="133">
    <w:name w:val="new1_正文 Char Char"/>
    <w:link w:val="134"/>
    <w:qFormat/>
    <w:uiPriority w:val="0"/>
    <w:rPr>
      <w:rFonts w:ascii="楷体_GB2312" w:hAnsi="宋体" w:eastAsia="楷体_GB2312"/>
      <w:color w:val="0000FF"/>
      <w:sz w:val="26"/>
    </w:rPr>
  </w:style>
  <w:style w:type="paragraph" w:customStyle="1" w:styleId="134">
    <w:name w:val="new1_正文"/>
    <w:basedOn w:val="1"/>
    <w:link w:val="133"/>
    <w:qFormat/>
    <w:uiPriority w:val="0"/>
    <w:pPr>
      <w:ind w:firstLine="549" w:firstLineChars="211"/>
    </w:pPr>
    <w:rPr>
      <w:rFonts w:ascii="楷体_GB2312" w:hAnsi="宋体" w:eastAsia="楷体_GB2312"/>
      <w:color w:val="0000FF"/>
      <w:kern w:val="0"/>
      <w:sz w:val="26"/>
      <w:szCs w:val="20"/>
      <w:lang w:val="zh-CN"/>
    </w:rPr>
  </w:style>
  <w:style w:type="character" w:customStyle="1" w:styleId="135">
    <w:name w:val="宋体 五"/>
    <w:qFormat/>
    <w:uiPriority w:val="0"/>
    <w:rPr>
      <w:rFonts w:ascii="宋体" w:hAnsi="宋体"/>
      <w:kern w:val="0"/>
      <w:sz w:val="21"/>
    </w:rPr>
  </w:style>
  <w:style w:type="character" w:customStyle="1" w:styleId="136">
    <w:name w:val="Char Char4"/>
    <w:qFormat/>
    <w:uiPriority w:val="0"/>
    <w:rPr>
      <w:rFonts w:ascii="Arial" w:hAnsi="Arial" w:eastAsia="宋体"/>
      <w:kern w:val="28"/>
      <w:sz w:val="21"/>
      <w:lang w:val="en-US" w:eastAsia="zh-CN" w:bidi="ar-SA"/>
    </w:rPr>
  </w:style>
  <w:style w:type="character" w:customStyle="1" w:styleId="137">
    <w:name w:val="emailstyle15"/>
    <w:qFormat/>
    <w:uiPriority w:val="0"/>
    <w:rPr>
      <w:rFonts w:hint="default" w:ascii="Calibri" w:hAnsi="Calibri" w:eastAsia="宋体" w:cs="Times New Roman"/>
      <w:color w:val="1F497D"/>
      <w:sz w:val="21"/>
      <w:szCs w:val="22"/>
    </w:rPr>
  </w:style>
  <w:style w:type="character" w:customStyle="1" w:styleId="138">
    <w:name w:val="样式1 Char Char"/>
    <w:qFormat/>
    <w:uiPriority w:val="0"/>
    <w:rPr>
      <w:rFonts w:eastAsia="宋体"/>
      <w:b/>
      <w:kern w:val="2"/>
      <w:sz w:val="28"/>
      <w:lang w:val="en-US" w:eastAsia="zh-CN" w:bidi="ar-SA"/>
    </w:rPr>
  </w:style>
  <w:style w:type="character" w:customStyle="1" w:styleId="139">
    <w:name w:val="结束语 Char1"/>
    <w:qFormat/>
    <w:uiPriority w:val="0"/>
    <w:rPr>
      <w:kern w:val="2"/>
      <w:sz w:val="21"/>
      <w:szCs w:val="24"/>
    </w:rPr>
  </w:style>
  <w:style w:type="character" w:customStyle="1" w:styleId="140">
    <w:name w:val="正文00 Char"/>
    <w:link w:val="141"/>
    <w:qFormat/>
    <w:uiPriority w:val="0"/>
    <w:rPr>
      <w:rFonts w:ascii="宋体" w:hAnsi="宋体"/>
      <w:kern w:val="2"/>
      <w:sz w:val="24"/>
      <w:szCs w:val="22"/>
    </w:rPr>
  </w:style>
  <w:style w:type="paragraph" w:customStyle="1" w:styleId="141">
    <w:name w:val="正文00"/>
    <w:basedOn w:val="1"/>
    <w:link w:val="140"/>
    <w:qFormat/>
    <w:uiPriority w:val="0"/>
    <w:pPr>
      <w:spacing w:line="440" w:lineRule="exact"/>
    </w:pPr>
    <w:rPr>
      <w:rFonts w:ascii="宋体" w:hAnsi="宋体"/>
      <w:sz w:val="24"/>
      <w:szCs w:val="22"/>
      <w:lang w:val="zh-CN"/>
    </w:rPr>
  </w:style>
  <w:style w:type="character" w:customStyle="1" w:styleId="142">
    <w:name w:val="称呼 Char1"/>
    <w:qFormat/>
    <w:uiPriority w:val="0"/>
    <w:rPr>
      <w:kern w:val="2"/>
      <w:sz w:val="21"/>
      <w:szCs w:val="24"/>
    </w:rPr>
  </w:style>
  <w:style w:type="character" w:customStyle="1" w:styleId="143">
    <w:name w:val="正文文本缩进 字符"/>
    <w:link w:val="28"/>
    <w:qFormat/>
    <w:uiPriority w:val="0"/>
    <w:rPr>
      <w:rFonts w:ascii="宋体"/>
      <w:kern w:val="2"/>
      <w:sz w:val="21"/>
    </w:rPr>
  </w:style>
  <w:style w:type="character" w:customStyle="1" w:styleId="144">
    <w:name w:val="批注文字 字符"/>
    <w:link w:val="14"/>
    <w:qFormat/>
    <w:uiPriority w:val="0"/>
    <w:rPr>
      <w:kern w:val="2"/>
      <w:sz w:val="21"/>
      <w:szCs w:val="24"/>
    </w:rPr>
  </w:style>
  <w:style w:type="character" w:customStyle="1" w:styleId="145">
    <w:name w:val="CN Level 4 List Char Char Char"/>
    <w:link w:val="146"/>
    <w:qFormat/>
    <w:uiPriority w:val="0"/>
    <w:rPr>
      <w:rFonts w:ascii="Arial" w:hAnsi="Arial"/>
      <w:kern w:val="2"/>
      <w:sz w:val="21"/>
      <w:szCs w:val="18"/>
      <w:lang w:eastAsia="en-US"/>
    </w:rPr>
  </w:style>
  <w:style w:type="paragraph" w:customStyle="1" w:styleId="146">
    <w:name w:val="CN Level 4 List Char Char"/>
    <w:basedOn w:val="79"/>
    <w:link w:val="145"/>
    <w:qFormat/>
    <w:uiPriority w:val="0"/>
    <w:pPr>
      <w:tabs>
        <w:tab w:val="left" w:pos="360"/>
        <w:tab w:val="clear" w:pos="840"/>
      </w:tabs>
    </w:pPr>
    <w:rPr>
      <w:lang w:val="zh-CN"/>
    </w:rPr>
  </w:style>
  <w:style w:type="character" w:customStyle="1" w:styleId="147">
    <w:name w:val="批注主题 字符"/>
    <w:link w:val="13"/>
    <w:qFormat/>
    <w:uiPriority w:val="99"/>
    <w:rPr>
      <w:b/>
      <w:bCs/>
      <w:kern w:val="2"/>
      <w:sz w:val="21"/>
      <w:szCs w:val="24"/>
    </w:rPr>
  </w:style>
  <w:style w:type="character" w:customStyle="1" w:styleId="148">
    <w:name w:val="正文文本 3 Char1"/>
    <w:qFormat/>
    <w:uiPriority w:val="0"/>
    <w:rPr>
      <w:kern w:val="2"/>
      <w:sz w:val="16"/>
      <w:szCs w:val="16"/>
    </w:rPr>
  </w:style>
  <w:style w:type="character" w:customStyle="1" w:styleId="149">
    <w:name w:val="标题 6 字符"/>
    <w:link w:val="8"/>
    <w:qFormat/>
    <w:uiPriority w:val="0"/>
    <w:rPr>
      <w:rFonts w:ascii="Arial" w:hAnsi="Arial" w:eastAsia="黑体"/>
      <w:b/>
      <w:bCs/>
      <w:kern w:val="2"/>
      <w:sz w:val="24"/>
      <w:szCs w:val="24"/>
    </w:rPr>
  </w:style>
  <w:style w:type="character" w:customStyle="1" w:styleId="150">
    <w:name w:val="newsitemtext1"/>
    <w:qFormat/>
    <w:uiPriority w:val="0"/>
    <w:rPr>
      <w:color w:val="000000"/>
      <w:sz w:val="21"/>
      <w:szCs w:val="21"/>
    </w:rPr>
  </w:style>
  <w:style w:type="character" w:customStyle="1" w:styleId="151">
    <w:name w:val="Char Char3"/>
    <w:qFormat/>
    <w:uiPriority w:val="0"/>
    <w:rPr>
      <w:rFonts w:ascii="宋体" w:eastAsia="宋体"/>
      <w:sz w:val="21"/>
      <w:lang w:val="en-US" w:eastAsia="zh-CN" w:bidi="ar-SA"/>
    </w:rPr>
  </w:style>
  <w:style w:type="character" w:customStyle="1" w:styleId="152">
    <w:name w:val="Footer-Even Char1"/>
    <w:qFormat/>
    <w:uiPriority w:val="0"/>
    <w:rPr>
      <w:rFonts w:eastAsia="宋体"/>
      <w:kern w:val="2"/>
      <w:sz w:val="18"/>
      <w:szCs w:val="18"/>
      <w:lang w:val="en-US" w:eastAsia="zh-CN" w:bidi="ar-SA"/>
    </w:rPr>
  </w:style>
  <w:style w:type="character" w:customStyle="1" w:styleId="153">
    <w:name w:val="new_正文 Char Char"/>
    <w:qFormat/>
    <w:uiPriority w:val="0"/>
    <w:rPr>
      <w:rFonts w:ascii="楷体_GB2312" w:hAnsi="宋体" w:eastAsia="楷体_GB2312" w:cs="Times New Roman"/>
      <w:kern w:val="2"/>
      <w:sz w:val="26"/>
      <w:szCs w:val="26"/>
    </w:rPr>
  </w:style>
  <w:style w:type="character" w:customStyle="1" w:styleId="154">
    <w:name w:val="列出段落 Char"/>
    <w:link w:val="155"/>
    <w:qFormat/>
    <w:uiPriority w:val="34"/>
    <w:rPr>
      <w:rFonts w:ascii="Arial" w:hAnsi="Arial"/>
      <w:kern w:val="2"/>
      <w:sz w:val="22"/>
      <w:szCs w:val="22"/>
      <w:lang w:bidi="ar-SA"/>
    </w:rPr>
  </w:style>
  <w:style w:type="paragraph" w:customStyle="1" w:styleId="155">
    <w:name w:val="列出段落1"/>
    <w:basedOn w:val="1"/>
    <w:link w:val="154"/>
    <w:qFormat/>
    <w:uiPriority w:val="99"/>
    <w:pPr>
      <w:ind w:left="720"/>
      <w:jc w:val="left"/>
    </w:pPr>
    <w:rPr>
      <w:rFonts w:ascii="Arial" w:hAnsi="Arial"/>
      <w:sz w:val="22"/>
      <w:szCs w:val="22"/>
      <w:lang w:val="zh-CN"/>
    </w:rPr>
  </w:style>
  <w:style w:type="character" w:customStyle="1" w:styleId="156">
    <w:name w:val="font01"/>
    <w:qFormat/>
    <w:uiPriority w:val="0"/>
    <w:rPr>
      <w:rFonts w:hint="eastAsia" w:ascii="宋体" w:hAnsi="宋体" w:eastAsia="宋体"/>
      <w:b/>
      <w:bCs/>
      <w:color w:val="000000"/>
      <w:sz w:val="20"/>
      <w:szCs w:val="20"/>
      <w:u w:val="none"/>
    </w:rPr>
  </w:style>
  <w:style w:type="character" w:customStyle="1" w:styleId="157">
    <w:name w:val="日期 字符"/>
    <w:link w:val="39"/>
    <w:qFormat/>
    <w:uiPriority w:val="0"/>
    <w:rPr>
      <w:kern w:val="2"/>
      <w:sz w:val="21"/>
      <w:szCs w:val="24"/>
    </w:rPr>
  </w:style>
  <w:style w:type="character" w:customStyle="1" w:styleId="158">
    <w:name w:val="CN Paragraph Char Char Char"/>
    <w:link w:val="79"/>
    <w:qFormat/>
    <w:uiPriority w:val="0"/>
    <w:rPr>
      <w:rFonts w:ascii="Arial" w:hAnsi="Arial"/>
      <w:kern w:val="2"/>
      <w:sz w:val="21"/>
      <w:szCs w:val="18"/>
      <w:lang w:val="en-US" w:eastAsia="en-US" w:bidi="ar-SA"/>
    </w:rPr>
  </w:style>
  <w:style w:type="character" w:customStyle="1" w:styleId="159">
    <w:name w:val="正文文本缩进 2 字符"/>
    <w:link w:val="40"/>
    <w:qFormat/>
    <w:uiPriority w:val="99"/>
    <w:rPr>
      <w:rFonts w:ascii="宋体" w:hAnsi="宋体"/>
      <w:kern w:val="2"/>
      <w:sz w:val="21"/>
    </w:rPr>
  </w:style>
  <w:style w:type="character" w:customStyle="1" w:styleId="160">
    <w:name w:val="CN Level 2 List Char Char Char"/>
    <w:link w:val="161"/>
    <w:qFormat/>
    <w:uiPriority w:val="0"/>
    <w:rPr>
      <w:rFonts w:ascii="Arial" w:hAnsi="Arial"/>
      <w:kern w:val="2"/>
      <w:sz w:val="21"/>
      <w:szCs w:val="18"/>
      <w:lang w:val="zh-CN" w:eastAsia="en-US"/>
    </w:rPr>
  </w:style>
  <w:style w:type="paragraph" w:customStyle="1" w:styleId="161">
    <w:name w:val="CN Level 2 List Char Char"/>
    <w:basedOn w:val="79"/>
    <w:link w:val="160"/>
    <w:qFormat/>
    <w:uiPriority w:val="0"/>
    <w:pPr>
      <w:tabs>
        <w:tab w:val="left" w:pos="2160"/>
        <w:tab w:val="clear" w:pos="840"/>
      </w:tabs>
      <w:ind w:left="284" w:hanging="284"/>
    </w:pPr>
    <w:rPr>
      <w:lang w:val="zh-CN"/>
    </w:rPr>
  </w:style>
  <w:style w:type="character" w:customStyle="1" w:styleId="162">
    <w:name w:val="标题 3 字符"/>
    <w:link w:val="5"/>
    <w:qFormat/>
    <w:uiPriority w:val="9"/>
    <w:rPr>
      <w:b/>
      <w:bCs/>
      <w:kern w:val="2"/>
      <w:sz w:val="32"/>
      <w:szCs w:val="32"/>
    </w:rPr>
  </w:style>
  <w:style w:type="character" w:customStyle="1" w:styleId="163">
    <w:name w:val="CN Level 2 Text Char Char"/>
    <w:link w:val="164"/>
    <w:qFormat/>
    <w:uiPriority w:val="0"/>
    <w:rPr>
      <w:rFonts w:ascii="Arial" w:hAnsi="Arial"/>
      <w:kern w:val="2"/>
      <w:sz w:val="21"/>
      <w:szCs w:val="18"/>
      <w:lang w:eastAsia="en-US"/>
    </w:rPr>
  </w:style>
  <w:style w:type="paragraph" w:customStyle="1" w:styleId="164">
    <w:name w:val="CN Level 2 Text Char"/>
    <w:basedOn w:val="79"/>
    <w:link w:val="163"/>
    <w:qFormat/>
    <w:uiPriority w:val="0"/>
    <w:pPr>
      <w:numPr>
        <w:ilvl w:val="6"/>
        <w:numId w:val="2"/>
      </w:numPr>
      <w:tabs>
        <w:tab w:val="left" w:pos="1440"/>
        <w:tab w:val="clear" w:pos="840"/>
      </w:tabs>
    </w:pPr>
    <w:rPr>
      <w:lang w:val="zh-CN"/>
    </w:rPr>
  </w:style>
  <w:style w:type="character" w:customStyle="1" w:styleId="165">
    <w:name w:val="multiopinionview"/>
    <w:qFormat/>
    <w:uiPriority w:val="0"/>
  </w:style>
  <w:style w:type="character" w:customStyle="1" w:styleId="166">
    <w:name w:val="CN Part Title Char Char"/>
    <w:link w:val="167"/>
    <w:qFormat/>
    <w:uiPriority w:val="0"/>
    <w:rPr>
      <w:rFonts w:ascii="Arial" w:hAnsi="Arial"/>
      <w:b/>
      <w:kern w:val="2"/>
      <w:sz w:val="24"/>
      <w:szCs w:val="18"/>
      <w:lang w:eastAsia="en-US"/>
    </w:rPr>
  </w:style>
  <w:style w:type="paragraph" w:customStyle="1" w:styleId="167">
    <w:name w:val="CN Part Title Char"/>
    <w:basedOn w:val="79"/>
    <w:next w:val="79"/>
    <w:link w:val="166"/>
    <w:qFormat/>
    <w:uiPriority w:val="0"/>
    <w:pPr>
      <w:keepNext/>
      <w:keepLines/>
      <w:tabs>
        <w:tab w:val="clear" w:pos="840"/>
      </w:tabs>
      <w:ind w:left="0" w:firstLine="0"/>
    </w:pPr>
    <w:rPr>
      <w:b/>
      <w:sz w:val="24"/>
      <w:lang w:val="zh-CN"/>
    </w:rPr>
  </w:style>
  <w:style w:type="character" w:customStyle="1" w:styleId="168">
    <w:name w:val="标题 4 字符"/>
    <w:link w:val="6"/>
    <w:qFormat/>
    <w:uiPriority w:val="0"/>
    <w:rPr>
      <w:rFonts w:ascii="Arial" w:hAnsi="Arial"/>
      <w:color w:val="000000"/>
      <w:kern w:val="2"/>
      <w:sz w:val="24"/>
      <w:szCs w:val="24"/>
    </w:rPr>
  </w:style>
  <w:style w:type="character" w:customStyle="1" w:styleId="169">
    <w:name w:val="font81"/>
    <w:qFormat/>
    <w:uiPriority w:val="0"/>
    <w:rPr>
      <w:rFonts w:hint="eastAsia" w:ascii="楷体_GB2312" w:eastAsia="楷体_GB2312" w:cs="楷体_GB2312"/>
      <w:color w:val="000000"/>
      <w:sz w:val="16"/>
      <w:szCs w:val="16"/>
      <w:u w:val="none"/>
    </w:rPr>
  </w:style>
  <w:style w:type="character" w:customStyle="1" w:styleId="170">
    <w:name w:val="font131"/>
    <w:qFormat/>
    <w:uiPriority w:val="0"/>
    <w:rPr>
      <w:rFonts w:hint="eastAsia" w:ascii="宋体" w:hAnsi="宋体" w:eastAsia="宋体" w:cs="宋体"/>
      <w:color w:val="000000"/>
      <w:sz w:val="16"/>
      <w:szCs w:val="16"/>
      <w:u w:val="none"/>
    </w:rPr>
  </w:style>
  <w:style w:type="character" w:customStyle="1" w:styleId="171">
    <w:name w:val="font171"/>
    <w:qFormat/>
    <w:uiPriority w:val="0"/>
    <w:rPr>
      <w:rFonts w:ascii="Arial" w:hAnsi="Arial" w:cs="Arial"/>
      <w:color w:val="000000"/>
      <w:sz w:val="16"/>
      <w:szCs w:val="16"/>
      <w:u w:val="none"/>
    </w:rPr>
  </w:style>
  <w:style w:type="character" w:customStyle="1" w:styleId="172">
    <w:name w:val="称呼 字符"/>
    <w:link w:val="25"/>
    <w:qFormat/>
    <w:uiPriority w:val="0"/>
    <w:rPr>
      <w:rFonts w:hAnsi="宋体"/>
      <w:szCs w:val="21"/>
    </w:rPr>
  </w:style>
  <w:style w:type="character" w:customStyle="1" w:styleId="173">
    <w:name w:val="样式1 Char"/>
    <w:qFormat/>
    <w:uiPriority w:val="0"/>
    <w:rPr>
      <w:rFonts w:eastAsia="宋体"/>
      <w:b/>
      <w:kern w:val="2"/>
      <w:sz w:val="28"/>
      <w:lang w:val="en-US" w:eastAsia="zh-CN" w:bidi="ar-SA"/>
    </w:rPr>
  </w:style>
  <w:style w:type="character" w:customStyle="1" w:styleId="174">
    <w:name w:val="new_正文 Char"/>
    <w:link w:val="175"/>
    <w:qFormat/>
    <w:uiPriority w:val="0"/>
    <w:rPr>
      <w:rFonts w:ascii="楷体_GB2312" w:hAnsi="宋体" w:eastAsia="楷体_GB2312"/>
      <w:sz w:val="26"/>
      <w:szCs w:val="26"/>
    </w:rPr>
  </w:style>
  <w:style w:type="paragraph" w:customStyle="1" w:styleId="175">
    <w:name w:val="new_正文"/>
    <w:basedOn w:val="1"/>
    <w:link w:val="174"/>
    <w:qFormat/>
    <w:uiPriority w:val="0"/>
    <w:pPr>
      <w:ind w:firstLine="549" w:firstLineChars="211"/>
    </w:pPr>
    <w:rPr>
      <w:rFonts w:ascii="楷体_GB2312" w:hAnsi="宋体" w:eastAsia="楷体_GB2312"/>
      <w:kern w:val="0"/>
      <w:sz w:val="26"/>
      <w:szCs w:val="26"/>
      <w:lang w:val="zh-CN"/>
    </w:rPr>
  </w:style>
  <w:style w:type="character" w:customStyle="1" w:styleId="176">
    <w:name w:val="正文文本 2 字符"/>
    <w:link w:val="58"/>
    <w:qFormat/>
    <w:uiPriority w:val="99"/>
  </w:style>
  <w:style w:type="character" w:customStyle="1" w:styleId="177">
    <w:name w:val="font112"/>
    <w:qFormat/>
    <w:uiPriority w:val="0"/>
    <w:rPr>
      <w:rFonts w:hint="eastAsia" w:ascii="楷体_GB2312" w:eastAsia="楷体_GB2312" w:cs="楷体_GB2312"/>
      <w:b/>
      <w:color w:val="000000"/>
      <w:sz w:val="16"/>
      <w:szCs w:val="16"/>
      <w:u w:val="single"/>
    </w:rPr>
  </w:style>
  <w:style w:type="character" w:customStyle="1" w:styleId="178">
    <w:name w:val="font21"/>
    <w:qFormat/>
    <w:uiPriority w:val="0"/>
    <w:rPr>
      <w:rFonts w:ascii="Arial" w:hAnsi="Arial" w:cs="Arial"/>
      <w:b/>
      <w:color w:val="000000"/>
      <w:sz w:val="16"/>
      <w:szCs w:val="16"/>
      <w:u w:val="single"/>
    </w:rPr>
  </w:style>
  <w:style w:type="character" w:customStyle="1" w:styleId="179">
    <w:name w:val="news1"/>
    <w:qFormat/>
    <w:uiPriority w:val="0"/>
    <w:rPr>
      <w:color w:val="181818"/>
      <w:sz w:val="20"/>
      <w:szCs w:val="20"/>
    </w:rPr>
  </w:style>
  <w:style w:type="character" w:customStyle="1" w:styleId="180">
    <w:name w:val="页眉 字符"/>
    <w:link w:val="45"/>
    <w:qFormat/>
    <w:uiPriority w:val="99"/>
    <w:rPr>
      <w:kern w:val="2"/>
      <w:sz w:val="18"/>
      <w:szCs w:val="18"/>
    </w:rPr>
  </w:style>
  <w:style w:type="character" w:customStyle="1" w:styleId="181">
    <w:name w:val="about1"/>
    <w:qFormat/>
    <w:uiPriority w:val="0"/>
    <w:rPr>
      <w:rFonts w:hint="default" w:ascii="ˎ̥" w:hAnsi="ˎ̥"/>
      <w:sz w:val="18"/>
      <w:szCs w:val="18"/>
    </w:rPr>
  </w:style>
  <w:style w:type="character" w:customStyle="1" w:styleId="182">
    <w:name w:val="页脚 Char1"/>
    <w:qFormat/>
    <w:uiPriority w:val="99"/>
    <w:rPr>
      <w:sz w:val="18"/>
      <w:szCs w:val="18"/>
    </w:rPr>
  </w:style>
  <w:style w:type="paragraph" w:customStyle="1" w:styleId="183">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4">
    <w:name w:val="Char Char2 Char Char Char Char"/>
    <w:basedOn w:val="1"/>
    <w:qFormat/>
    <w:uiPriority w:val="0"/>
    <w:rPr>
      <w:szCs w:val="20"/>
    </w:rPr>
  </w:style>
  <w:style w:type="paragraph" w:customStyle="1" w:styleId="185">
    <w:name w:val="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8">
    <w:name w:val="Char Char3 Char Char"/>
    <w:basedOn w:val="1"/>
    <w:qFormat/>
    <w:uiPriority w:val="0"/>
    <w:rPr>
      <w:rFonts w:ascii="Tahoma" w:hAnsi="Tahoma"/>
      <w:sz w:val="24"/>
    </w:rPr>
  </w:style>
  <w:style w:type="paragraph" w:customStyle="1" w:styleId="18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0">
    <w:name w:val="Char Char1 Char Char Char Char Char Char Char Char Char Char Char Char Char Char Char Char"/>
    <w:basedOn w:val="1"/>
    <w:qFormat/>
    <w:uiPriority w:val="0"/>
    <w:pPr>
      <w:spacing w:line="360" w:lineRule="auto"/>
      <w:ind w:left="2100" w:firstLine="420"/>
    </w:pPr>
    <w:rPr>
      <w:rFonts w:ascii="宋体" w:hAnsi="宋体"/>
      <w:b/>
      <w:color w:val="000000"/>
      <w:sz w:val="30"/>
      <w:szCs w:val="30"/>
    </w:rPr>
  </w:style>
  <w:style w:type="paragraph" w:customStyle="1" w:styleId="191">
    <w:name w:val="Char2 Char Char Char1 Char Char Char Char Char Char Char Char1 Char1 Char Char1 Char"/>
    <w:basedOn w:val="1"/>
    <w:qFormat/>
    <w:uiPriority w:val="0"/>
    <w:pPr>
      <w:spacing w:line="360" w:lineRule="auto"/>
    </w:pPr>
    <w:rPr>
      <w:rFonts w:ascii="Tahoma" w:hAnsi="Tahoma"/>
      <w:szCs w:val="21"/>
    </w:rPr>
  </w:style>
  <w:style w:type="paragraph" w:customStyle="1" w:styleId="192">
    <w:name w:val="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193">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Char Char1"/>
    <w:basedOn w:val="1"/>
    <w:qFormat/>
    <w:uiPriority w:val="0"/>
    <w:pPr>
      <w:spacing w:line="360" w:lineRule="auto"/>
      <w:ind w:left="2100" w:firstLine="420"/>
    </w:pPr>
    <w:rPr>
      <w:rFonts w:ascii="宋体" w:hAnsi="宋体"/>
      <w:b/>
      <w:color w:val="000000"/>
      <w:sz w:val="30"/>
      <w:szCs w:val="30"/>
    </w:rPr>
  </w:style>
  <w:style w:type="paragraph" w:customStyle="1" w:styleId="196">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197">
    <w:name w:val="@点点"/>
    <w:basedOn w:val="1"/>
    <w:qFormat/>
    <w:uiPriority w:val="0"/>
    <w:pPr>
      <w:tabs>
        <w:tab w:val="left" w:pos="1140"/>
      </w:tabs>
      <w:ind w:left="1140" w:hanging="720"/>
    </w:pPr>
    <w:rPr>
      <w:bCs/>
      <w:szCs w:val="20"/>
    </w:rPr>
  </w:style>
  <w:style w:type="paragraph" w:customStyle="1" w:styleId="198">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 Char4 Char Char Char Char Char Char Char Char 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200">
    <w:name w:val="表中文字"/>
    <w:qFormat/>
    <w:uiPriority w:val="0"/>
    <w:rPr>
      <w:rFonts w:ascii="Arial" w:hAnsi="Arial" w:eastAsia="宋体" w:cs="Times New Roman"/>
      <w:sz w:val="24"/>
      <w:lang w:val="en-US" w:eastAsia="zh-CN" w:bidi="ar-SA"/>
    </w:rPr>
  </w:style>
  <w:style w:type="paragraph" w:customStyle="1" w:styleId="201">
    <w:name w:val="TOC 标题1"/>
    <w:basedOn w:val="2"/>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202">
    <w:name w:val="Char Char Char Char Char Char Char"/>
    <w:basedOn w:val="1"/>
    <w:qFormat/>
    <w:uiPriority w:val="0"/>
    <w:pPr>
      <w:widowControl/>
      <w:spacing w:after="160" w:line="240" w:lineRule="exact"/>
      <w:jc w:val="left"/>
    </w:pPr>
  </w:style>
  <w:style w:type="paragraph" w:customStyle="1" w:styleId="203">
    <w:name w:val="Char1 Char Char Char Char Char Char1 Char Char Char Char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04">
    <w:name w:val="@标题2"/>
    <w:basedOn w:val="1"/>
    <w:qFormat/>
    <w:uiPriority w:val="0"/>
    <w:rPr>
      <w:szCs w:val="20"/>
    </w:rPr>
  </w:style>
  <w:style w:type="paragraph" w:customStyle="1" w:styleId="205">
    <w:name w:val="Explanatory Text"/>
    <w:basedOn w:val="1"/>
    <w:qFormat/>
    <w:uiPriority w:val="0"/>
    <w:pPr>
      <w:widowControl/>
      <w:jc w:val="left"/>
    </w:pPr>
    <w:rPr>
      <w:rFonts w:ascii="Helvetica" w:hAnsi="Helvetica" w:cs="Arial"/>
      <w:color w:val="0000FF"/>
      <w:kern w:val="0"/>
      <w:sz w:val="18"/>
      <w:szCs w:val="20"/>
      <w:lang w:val="en-GB" w:eastAsia="en-US"/>
    </w:rPr>
  </w:style>
  <w:style w:type="paragraph" w:customStyle="1" w:styleId="20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07">
    <w:name w:val="Default"/>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20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Char Char2"/>
    <w:basedOn w:val="1"/>
    <w:qFormat/>
    <w:uiPriority w:val="0"/>
    <w:pPr>
      <w:widowControl/>
      <w:spacing w:before="120" w:after="120" w:line="440" w:lineRule="exact"/>
      <w:jc w:val="left"/>
    </w:pPr>
    <w:rPr>
      <w:rFonts w:ascii="宋体" w:hAnsi="宋体"/>
      <w:kern w:val="0"/>
      <w:sz w:val="28"/>
      <w:szCs w:val="28"/>
    </w:rPr>
  </w:style>
  <w:style w:type="paragraph" w:customStyle="1" w:styleId="21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1">
    <w:name w:val="默认段落字体 Para Char Char Char Char"/>
    <w:basedOn w:val="1"/>
    <w:qFormat/>
    <w:uiPriority w:val="0"/>
    <w:rPr>
      <w:szCs w:val="20"/>
    </w:rPr>
  </w:style>
  <w:style w:type="paragraph" w:customStyle="1" w:styleId="212">
    <w:name w:val="Char Char Char Char Char Char Char Char Char Char Char Char Char Char Char Char"/>
    <w:basedOn w:val="22"/>
    <w:qFormat/>
    <w:uiPriority w:val="0"/>
    <w:rPr>
      <w:rFonts w:ascii="Tahoma" w:hAnsi="Tahoma"/>
      <w:sz w:val="24"/>
    </w:rPr>
  </w:style>
  <w:style w:type="paragraph" w:customStyle="1" w:styleId="213">
    <w:name w:val="Char Char Char"/>
    <w:basedOn w:val="1"/>
    <w:qFormat/>
    <w:uiPriority w:val="0"/>
    <w:pPr>
      <w:widowControl/>
      <w:jc w:val="left"/>
    </w:pPr>
    <w:rPr>
      <w:rFonts w:ascii="Futura Bk" w:hAnsi="Futura Bk"/>
      <w:kern w:val="0"/>
      <w:sz w:val="20"/>
      <w:szCs w:val="20"/>
      <w:lang w:val="en-GB" w:eastAsia="en-US"/>
    </w:rPr>
  </w:style>
  <w:style w:type="paragraph" w:customStyle="1" w:styleId="214">
    <w:name w:val="Char Char6"/>
    <w:basedOn w:val="1"/>
    <w:qFormat/>
    <w:uiPriority w:val="0"/>
    <w:pPr>
      <w:spacing w:line="360" w:lineRule="auto"/>
      <w:ind w:left="2100" w:firstLine="420"/>
    </w:pPr>
    <w:rPr>
      <w:rFonts w:ascii="宋体" w:hAnsi="宋体"/>
      <w:b/>
      <w:color w:val="000000"/>
      <w:sz w:val="30"/>
      <w:szCs w:val="30"/>
    </w:rPr>
  </w:style>
  <w:style w:type="paragraph" w:customStyle="1" w:styleId="215">
    <w:name w:val="Char Char2 Char Char"/>
    <w:basedOn w:val="1"/>
    <w:qFormat/>
    <w:uiPriority w:val="0"/>
    <w:pPr>
      <w:widowControl/>
      <w:spacing w:before="120" w:after="120" w:line="440" w:lineRule="exact"/>
      <w:jc w:val="left"/>
    </w:pPr>
    <w:rPr>
      <w:rFonts w:ascii="宋体" w:hAnsi="宋体"/>
      <w:kern w:val="0"/>
      <w:sz w:val="28"/>
      <w:szCs w:val="28"/>
    </w:rPr>
  </w:style>
  <w:style w:type="paragraph" w:customStyle="1" w:styleId="216">
    <w:name w:val="Char Char Char Char Char Char Char Char Char Char Char Char1"/>
    <w:basedOn w:val="1"/>
    <w:qFormat/>
    <w:uiPriority w:val="0"/>
    <w:pPr>
      <w:spacing w:line="360" w:lineRule="auto"/>
    </w:pPr>
    <w:rPr>
      <w:szCs w:val="20"/>
    </w:rPr>
  </w:style>
  <w:style w:type="paragraph" w:customStyle="1" w:styleId="217">
    <w:name w:val="修订1"/>
    <w:qFormat/>
    <w:uiPriority w:val="99"/>
    <w:rPr>
      <w:rFonts w:ascii="Times New Roman" w:hAnsi="Times New Roman" w:eastAsia="宋体" w:cs="Times New Roman"/>
      <w:kern w:val="2"/>
      <w:sz w:val="21"/>
      <w:szCs w:val="24"/>
      <w:lang w:val="en-US" w:eastAsia="zh-CN" w:bidi="ar-SA"/>
    </w:rPr>
  </w:style>
  <w:style w:type="paragraph" w:customStyle="1" w:styleId="218">
    <w:name w:val="Char Char Char Char Char Char Char2 Char Char Char Char Char Char Char Char1 Char"/>
    <w:basedOn w:val="1"/>
    <w:qFormat/>
    <w:uiPriority w:val="0"/>
    <w:pPr>
      <w:widowControl/>
      <w:spacing w:before="120" w:after="120" w:line="440" w:lineRule="exact"/>
      <w:jc w:val="left"/>
    </w:pPr>
    <w:rPr>
      <w:rFonts w:ascii="宋体" w:hAnsi="宋体"/>
      <w:kern w:val="0"/>
      <w:sz w:val="28"/>
      <w:szCs w:val="28"/>
    </w:rPr>
  </w:style>
  <w:style w:type="paragraph" w:customStyle="1" w:styleId="219">
    <w:name w:val="列表（符号一级）（绿盟科技）"/>
    <w:basedOn w:val="1"/>
    <w:qFormat/>
    <w:uiPriority w:val="0"/>
    <w:pPr>
      <w:numPr>
        <w:ilvl w:val="0"/>
        <w:numId w:val="3"/>
      </w:numPr>
    </w:pPr>
    <w:rPr>
      <w:szCs w:val="20"/>
    </w:rPr>
  </w:style>
  <w:style w:type="paragraph" w:customStyle="1" w:styleId="220">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Char Char Char Char"/>
    <w:basedOn w:val="1"/>
    <w:qFormat/>
    <w:uiPriority w:val="0"/>
    <w:pPr>
      <w:spacing w:line="360" w:lineRule="auto"/>
    </w:pPr>
    <w:rPr>
      <w:szCs w:val="20"/>
    </w:rPr>
  </w:style>
  <w:style w:type="paragraph" w:customStyle="1" w:styleId="222">
    <w:name w:val="Char Char21"/>
    <w:basedOn w:val="1"/>
    <w:qFormat/>
    <w:uiPriority w:val="0"/>
    <w:pPr>
      <w:widowControl/>
      <w:spacing w:before="120" w:after="120" w:line="440" w:lineRule="exact"/>
      <w:jc w:val="left"/>
    </w:pPr>
    <w:rPr>
      <w:rFonts w:ascii="宋体" w:hAnsi="宋体"/>
      <w:kern w:val="0"/>
      <w:sz w:val="28"/>
      <w:szCs w:val="28"/>
    </w:rPr>
  </w:style>
  <w:style w:type="paragraph" w:customStyle="1" w:styleId="223">
    <w:name w:val="Char Char Char Char Char Char"/>
    <w:basedOn w:val="1"/>
    <w:qFormat/>
    <w:uiPriority w:val="0"/>
    <w:rPr>
      <w:rFonts w:ascii="Tahoma" w:hAnsi="Tahoma"/>
      <w:sz w:val="24"/>
    </w:rPr>
  </w:style>
  <w:style w:type="paragraph" w:customStyle="1" w:styleId="224">
    <w:name w:val="Char Char2 Char"/>
    <w:basedOn w:val="1"/>
    <w:qFormat/>
    <w:uiPriority w:val="0"/>
    <w:rPr>
      <w:rFonts w:ascii="宋体" w:hAnsi="宋体"/>
      <w:b/>
      <w:sz w:val="28"/>
      <w:szCs w:val="28"/>
    </w:rPr>
  </w:style>
  <w:style w:type="paragraph" w:customStyle="1" w:styleId="225">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大章节"/>
    <w:basedOn w:val="2"/>
    <w:qFormat/>
    <w:uiPriority w:val="0"/>
    <w:pPr>
      <w:snapToGrid/>
      <w:spacing w:before="340" w:after="330" w:line="578" w:lineRule="auto"/>
    </w:pPr>
    <w:rPr>
      <w:rFonts w:ascii="Times New Roman" w:hAnsi="Times New Roman"/>
      <w:bCs w:val="0"/>
      <w:sz w:val="44"/>
      <w:szCs w:val="44"/>
    </w:rPr>
  </w:style>
  <w:style w:type="paragraph" w:customStyle="1" w:styleId="227">
    <w:name w:val="Char Char Char1 Char"/>
    <w:basedOn w:val="22"/>
    <w:qFormat/>
    <w:uiPriority w:val="0"/>
    <w:rPr>
      <w:rFonts w:ascii="Tahoma" w:hAnsi="Tahoma"/>
      <w:sz w:val="24"/>
    </w:rPr>
  </w:style>
  <w:style w:type="paragraph" w:customStyle="1" w:styleId="228">
    <w:name w:val="Char"/>
    <w:basedOn w:val="1"/>
    <w:qFormat/>
    <w:uiPriority w:val="0"/>
    <w:pPr>
      <w:tabs>
        <w:tab w:val="left" w:pos="720"/>
      </w:tabs>
      <w:ind w:left="720" w:hanging="720"/>
    </w:pPr>
    <w:rPr>
      <w:sz w:val="24"/>
    </w:rPr>
  </w:style>
  <w:style w:type="paragraph" w:customStyle="1" w:styleId="229">
    <w:name w:val="Char Char Char Char Char Char Char Char Char Char Char Char Char Char Char Char1"/>
    <w:basedOn w:val="1"/>
    <w:qFormat/>
    <w:uiPriority w:val="0"/>
    <w:rPr>
      <w:rFonts w:ascii="Tahoma" w:hAnsi="Tahoma"/>
      <w:sz w:val="24"/>
    </w:rPr>
  </w:style>
  <w:style w:type="paragraph" w:customStyle="1" w:styleId="230">
    <w:name w:val="Char Char11"/>
    <w:basedOn w:val="1"/>
    <w:qFormat/>
    <w:uiPriority w:val="0"/>
    <w:pPr>
      <w:widowControl/>
      <w:jc w:val="left"/>
    </w:pPr>
    <w:rPr>
      <w:rFonts w:ascii="Futura Bk" w:hAnsi="Futura Bk"/>
      <w:kern w:val="0"/>
      <w:sz w:val="20"/>
      <w:szCs w:val="20"/>
      <w:lang w:val="en-GB" w:eastAsia="en-US"/>
    </w:rPr>
  </w:style>
  <w:style w:type="paragraph" w:customStyle="1" w:styleId="231">
    <w:name w:val="Char Char Char1"/>
    <w:basedOn w:val="1"/>
    <w:qFormat/>
    <w:uiPriority w:val="0"/>
    <w:rPr>
      <w:rFonts w:ascii="Tahoma" w:hAnsi="Tahoma"/>
      <w:sz w:val="24"/>
      <w:szCs w:val="20"/>
    </w:rPr>
  </w:style>
  <w:style w:type="paragraph" w:customStyle="1" w:styleId="232">
    <w:name w:val="@标题1"/>
    <w:basedOn w:val="1"/>
    <w:qFormat/>
    <w:uiPriority w:val="0"/>
    <w:rPr>
      <w:b/>
      <w:bCs/>
      <w:sz w:val="28"/>
      <w:szCs w:val="20"/>
    </w:rPr>
  </w:style>
  <w:style w:type="paragraph" w:customStyle="1" w:styleId="233">
    <w:name w:val="Z正文缩进4"/>
    <w:basedOn w:val="1"/>
    <w:qFormat/>
    <w:uiPriority w:val="0"/>
    <w:pPr>
      <w:tabs>
        <w:tab w:val="left" w:pos="0"/>
      </w:tabs>
      <w:snapToGrid w:val="0"/>
      <w:spacing w:line="360" w:lineRule="auto"/>
    </w:pPr>
    <w:rPr>
      <w:rFonts w:ascii="Arial" w:hAnsi="Arial"/>
    </w:rPr>
  </w:style>
  <w:style w:type="paragraph" w:customStyle="1" w:styleId="234">
    <w:name w:val="Char Char31"/>
    <w:basedOn w:val="1"/>
    <w:qFormat/>
    <w:uiPriority w:val="0"/>
    <w:pPr>
      <w:widowControl/>
      <w:spacing w:before="120" w:after="120" w:line="440" w:lineRule="exact"/>
      <w:jc w:val="left"/>
    </w:pPr>
    <w:rPr>
      <w:rFonts w:ascii="宋体" w:hAnsi="宋体"/>
      <w:kern w:val="0"/>
      <w:sz w:val="28"/>
      <w:szCs w:val="28"/>
    </w:rPr>
  </w:style>
  <w:style w:type="paragraph" w:customStyle="1" w:styleId="235">
    <w:name w:val="Char111"/>
    <w:basedOn w:val="1"/>
    <w:qFormat/>
    <w:uiPriority w:val="0"/>
    <w:pPr>
      <w:tabs>
        <w:tab w:val="left" w:pos="432"/>
      </w:tabs>
      <w:ind w:left="432" w:hanging="432"/>
    </w:pPr>
    <w:rPr>
      <w:sz w:val="24"/>
    </w:rPr>
  </w:style>
  <w:style w:type="paragraph" w:customStyle="1" w:styleId="23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37">
    <w:name w:val="Char1"/>
    <w:basedOn w:val="1"/>
    <w:qFormat/>
    <w:uiPriority w:val="0"/>
    <w:rPr>
      <w:rFonts w:ascii="Tahoma" w:hAnsi="Tahoma"/>
      <w:sz w:val="24"/>
      <w:szCs w:val="20"/>
    </w:rPr>
  </w:style>
  <w:style w:type="paragraph" w:customStyle="1" w:styleId="238">
    <w:name w:val="表格"/>
    <w:basedOn w:val="1"/>
    <w:next w:val="1"/>
    <w:qFormat/>
    <w:uiPriority w:val="0"/>
    <w:rPr>
      <w:rFonts w:ascii="宋体" w:hAnsi="宋体"/>
    </w:rPr>
  </w:style>
  <w:style w:type="paragraph" w:customStyle="1" w:styleId="239">
    <w:name w:val="Char Char1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240">
    <w:name w:val="Char Char51"/>
    <w:basedOn w:val="1"/>
    <w:qFormat/>
    <w:uiPriority w:val="0"/>
    <w:rPr>
      <w:rFonts w:ascii="Tahoma" w:hAnsi="Tahoma"/>
      <w:sz w:val="24"/>
      <w:szCs w:val="20"/>
    </w:rPr>
  </w:style>
  <w:style w:type="paragraph" w:customStyle="1" w:styleId="241">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2">
    <w:name w:val="List Paragraph11"/>
    <w:basedOn w:val="1"/>
    <w:qFormat/>
    <w:uiPriority w:val="0"/>
    <w:pPr>
      <w:ind w:firstLine="420" w:firstLineChars="200"/>
    </w:pPr>
    <w:rPr>
      <w:szCs w:val="21"/>
    </w:rPr>
  </w:style>
  <w:style w:type="paragraph" w:customStyle="1" w:styleId="24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Char1 Char Char Char Char"/>
    <w:basedOn w:val="1"/>
    <w:qFormat/>
    <w:uiPriority w:val="0"/>
    <w:rPr>
      <w:rFonts w:ascii="Tahoma" w:hAnsi="Tahoma"/>
      <w:sz w:val="24"/>
      <w:szCs w:val="20"/>
    </w:rPr>
  </w:style>
  <w:style w:type="paragraph" w:customStyle="1" w:styleId="245">
    <w:name w:val="Char Char2 Char Char Char Char Char Char"/>
    <w:basedOn w:val="1"/>
    <w:qFormat/>
    <w:uiPriority w:val="0"/>
    <w:rPr>
      <w:szCs w:val="20"/>
    </w:rPr>
  </w:style>
  <w:style w:type="paragraph" w:customStyle="1" w:styleId="246">
    <w:name w:val="msolistparagraph"/>
    <w:basedOn w:val="1"/>
    <w:qFormat/>
    <w:uiPriority w:val="0"/>
    <w:pPr>
      <w:widowControl/>
      <w:ind w:firstLine="420"/>
    </w:pPr>
    <w:rPr>
      <w:rFonts w:ascii="Calibri" w:hAnsi="Calibri" w:cs="宋体"/>
      <w:kern w:val="0"/>
      <w:szCs w:val="21"/>
    </w:rPr>
  </w:style>
  <w:style w:type="paragraph" w:customStyle="1" w:styleId="247">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8">
    <w:name w:val="Char Char7"/>
    <w:basedOn w:val="1"/>
    <w:qFormat/>
    <w:uiPriority w:val="0"/>
    <w:rPr>
      <w:rFonts w:ascii="Tahoma" w:hAnsi="Tahoma"/>
      <w:sz w:val="24"/>
      <w:szCs w:val="20"/>
    </w:rPr>
  </w:style>
  <w:style w:type="paragraph" w:customStyle="1" w:styleId="2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0">
    <w:name w:val="Char Char1 Char Char"/>
    <w:basedOn w:val="1"/>
    <w:qFormat/>
    <w:uiPriority w:val="0"/>
    <w:pPr>
      <w:spacing w:line="360" w:lineRule="auto"/>
      <w:ind w:left="2100" w:firstLine="420"/>
    </w:pPr>
    <w:rPr>
      <w:rFonts w:ascii="宋体" w:hAnsi="宋体"/>
      <w:b/>
      <w:color w:val="000000"/>
      <w:sz w:val="30"/>
      <w:szCs w:val="30"/>
    </w:rPr>
  </w:style>
  <w:style w:type="paragraph" w:customStyle="1" w:styleId="251">
    <w:name w:val="Char Char14 Char Char Char Char"/>
    <w:basedOn w:val="1"/>
    <w:qFormat/>
    <w:uiPriority w:val="0"/>
    <w:pPr>
      <w:widowControl/>
      <w:spacing w:before="120" w:after="120" w:line="440" w:lineRule="exact"/>
      <w:jc w:val="left"/>
    </w:pPr>
    <w:rPr>
      <w:rFonts w:ascii="宋体" w:hAnsi="宋体"/>
      <w:kern w:val="0"/>
      <w:sz w:val="28"/>
      <w:szCs w:val="28"/>
    </w:rPr>
  </w:style>
  <w:style w:type="paragraph" w:customStyle="1" w:styleId="252">
    <w:name w:val="Requirements numbering1"/>
    <w:basedOn w:val="1"/>
    <w:qFormat/>
    <w:uiPriority w:val="0"/>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253">
    <w:name w:val="Char Char1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54">
    <w:name w:val="Char Char1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55">
    <w:name w:val="TableBoldSmall"/>
    <w:basedOn w:val="1"/>
    <w:qFormat/>
    <w:uiPriority w:val="0"/>
    <w:pPr>
      <w:widowControl/>
      <w:spacing w:before="60"/>
      <w:ind w:right="144"/>
      <w:jc w:val="right"/>
    </w:pPr>
    <w:rPr>
      <w:rFonts w:ascii="Arial" w:hAnsi="Arial" w:cs="Arial"/>
      <w:b/>
      <w:bCs/>
      <w:kern w:val="0"/>
      <w:sz w:val="20"/>
      <w:szCs w:val="20"/>
      <w:lang w:eastAsia="en-US"/>
    </w:rPr>
  </w:style>
  <w:style w:type="paragraph" w:customStyle="1" w:styleId="256">
    <w:name w:val="Char1 Char Char Char Char Char Char1 Char Char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57">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58">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仿宋_GB2312" w:hAnsi="宋体" w:eastAsia="仿宋_GB2312" w:cs="宋体"/>
      <w:color w:val="000000"/>
      <w:kern w:val="0"/>
      <w:sz w:val="24"/>
    </w:rPr>
  </w:style>
  <w:style w:type="paragraph" w:customStyle="1" w:styleId="259">
    <w:name w:val="Char Char2 Char Char1"/>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260">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1">
    <w:name w:val="默认段落字体 Para Char"/>
    <w:basedOn w:val="1"/>
    <w:qFormat/>
    <w:uiPriority w:val="0"/>
    <w:rPr>
      <w:rFonts w:ascii="Tahoma" w:hAnsi="Tahoma"/>
      <w:sz w:val="24"/>
      <w:szCs w:val="20"/>
    </w:rPr>
  </w:style>
  <w:style w:type="paragraph" w:customStyle="1" w:styleId="262">
    <w:name w:val="Char Char1 Char Char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63">
    <w:name w:val="CN Appendix Purpose"/>
    <w:basedOn w:val="79"/>
    <w:next w:val="79"/>
    <w:qFormat/>
    <w:uiPriority w:val="0"/>
    <w:pPr>
      <w:keepNext/>
      <w:keepLines/>
      <w:numPr>
        <w:ilvl w:val="1"/>
        <w:numId w:val="4"/>
      </w:numPr>
      <w:tabs>
        <w:tab w:val="left" w:pos="360"/>
        <w:tab w:val="left" w:pos="480"/>
        <w:tab w:val="clear" w:pos="840"/>
      </w:tabs>
      <w:ind w:left="720"/>
    </w:pPr>
  </w:style>
  <w:style w:type="paragraph" w:customStyle="1" w:styleId="264">
    <w:name w:val="font10"/>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65">
    <w:name w:val="Char1 Char Char Char Char Char Char1"/>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66">
    <w:name w:val="Char Char Char Char Char Char Char Char Char Char Char Char Char Char"/>
    <w:basedOn w:val="1"/>
    <w:qFormat/>
    <w:uiPriority w:val="0"/>
    <w:rPr>
      <w:rFonts w:ascii="Tahoma" w:hAnsi="Tahoma"/>
      <w:sz w:val="24"/>
    </w:rPr>
  </w:style>
  <w:style w:type="paragraph" w:customStyle="1" w:styleId="267">
    <w:name w:val="CN Internal Note Text"/>
    <w:basedOn w:val="79"/>
    <w:qFormat/>
    <w:uiPriority w:val="0"/>
    <w:pPr>
      <w:pBdr>
        <w:right w:val="single" w:color="FF0000" w:sz="18" w:space="4"/>
      </w:pBdr>
      <w:tabs>
        <w:tab w:val="left" w:pos="360"/>
        <w:tab w:val="clear" w:pos="840"/>
      </w:tabs>
      <w:ind w:left="0" w:firstLine="0"/>
    </w:pPr>
    <w:rPr>
      <w:rFonts w:ascii="Times New Roman" w:hAnsi="Times New Roman"/>
      <w:b/>
      <w:color w:val="FF0000"/>
      <w:szCs w:val="20"/>
    </w:rPr>
  </w:style>
  <w:style w:type="paragraph" w:customStyle="1" w:styleId="2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9">
    <w:name w:val="缺省文本"/>
    <w:basedOn w:val="1"/>
    <w:qFormat/>
    <w:uiPriority w:val="0"/>
    <w:pPr>
      <w:autoSpaceDE w:val="0"/>
      <w:autoSpaceDN w:val="0"/>
      <w:adjustRightInd w:val="0"/>
      <w:jc w:val="left"/>
    </w:pPr>
    <w:rPr>
      <w:kern w:val="0"/>
      <w:sz w:val="24"/>
    </w:rPr>
  </w:style>
  <w:style w:type="paragraph" w:customStyle="1" w:styleId="270">
    <w:name w:val="Char2 Char Char Char1 Char Char Char Char Char Char Char Char1 Char1 Char Char1 Char1"/>
    <w:basedOn w:val="1"/>
    <w:qFormat/>
    <w:uiPriority w:val="0"/>
    <w:pPr>
      <w:spacing w:line="360" w:lineRule="auto"/>
    </w:pPr>
    <w:rPr>
      <w:rFonts w:ascii="Tahoma" w:hAnsi="Tahoma" w:cs="Calibri"/>
      <w:szCs w:val="21"/>
    </w:rPr>
  </w:style>
  <w:style w:type="paragraph" w:customStyle="1" w:styleId="271">
    <w:name w:val="Char Char Char Char Char Char Char Char Char"/>
    <w:basedOn w:val="1"/>
    <w:qFormat/>
    <w:uiPriority w:val="0"/>
    <w:rPr>
      <w:rFonts w:ascii="Tahoma" w:hAnsi="Tahoma" w:cs="Tahoma"/>
      <w:sz w:val="24"/>
    </w:rPr>
  </w:style>
  <w:style w:type="paragraph" w:customStyle="1" w:styleId="272">
    <w:name w:val="CN Internal Note Level 1 Bullet"/>
    <w:basedOn w:val="267"/>
    <w:qFormat/>
    <w:uiPriority w:val="0"/>
    <w:pPr>
      <w:numPr>
        <w:ilvl w:val="2"/>
        <w:numId w:val="5"/>
      </w:numPr>
      <w:tabs>
        <w:tab w:val="left" w:pos="1200"/>
        <w:tab w:val="left" w:pos="1260"/>
        <w:tab w:val="left" w:pos="1740"/>
        <w:tab w:val="left" w:pos="1838"/>
        <w:tab w:val="clear" w:pos="360"/>
      </w:tabs>
      <w:ind w:left="0" w:firstLine="0"/>
    </w:pPr>
  </w:style>
  <w:style w:type="paragraph" w:customStyle="1" w:styleId="273">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Char Char Char Char2 Char Char"/>
    <w:basedOn w:val="1"/>
    <w:qFormat/>
    <w:uiPriority w:val="0"/>
    <w:pPr>
      <w:spacing w:line="360" w:lineRule="auto"/>
    </w:pPr>
    <w:rPr>
      <w:rFonts w:ascii="Tahoma" w:hAnsi="Tahoma"/>
      <w:szCs w:val="21"/>
    </w:rPr>
  </w:style>
  <w:style w:type="paragraph" w:customStyle="1" w:styleId="276">
    <w:name w:val="样式 Times New Roman (符号) 宋体 首行缩进:  2 字符"/>
    <w:basedOn w:val="1"/>
    <w:qFormat/>
    <w:uiPriority w:val="0"/>
    <w:pPr>
      <w:spacing w:after="120" w:line="400" w:lineRule="atLeast"/>
      <w:ind w:firstLine="480" w:firstLineChars="200"/>
    </w:pPr>
    <w:rPr>
      <w:rFonts w:ascii="Calibri" w:hAnsi="宋体" w:cs="宋体"/>
      <w:sz w:val="24"/>
      <w:szCs w:val="20"/>
    </w:rPr>
  </w:style>
  <w:style w:type="paragraph" w:customStyle="1" w:styleId="277">
    <w:name w:val="默认段落字体 Para Char Char Char Char Char Char Char"/>
    <w:basedOn w:val="1"/>
    <w:qFormat/>
    <w:uiPriority w:val="0"/>
    <w:pPr>
      <w:adjustRightInd w:val="0"/>
      <w:spacing w:line="360" w:lineRule="auto"/>
    </w:pPr>
    <w:rPr>
      <w:kern w:val="0"/>
      <w:sz w:val="24"/>
      <w:szCs w:val="20"/>
    </w:rPr>
  </w:style>
  <w:style w:type="paragraph" w:customStyle="1" w:styleId="27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79">
    <w:name w:val="样式 正文首行缩进 + 首行缩进:  2 字符1"/>
    <w:basedOn w:val="16"/>
    <w:qFormat/>
    <w:uiPriority w:val="0"/>
    <w:pPr>
      <w:spacing w:after="0" w:line="360" w:lineRule="auto"/>
      <w:ind w:firstLine="200" w:firstLineChars="200"/>
    </w:pPr>
    <w:rPr>
      <w:rFonts w:eastAsia="宋体"/>
      <w:sz w:val="24"/>
      <w:szCs w:val="20"/>
    </w:rPr>
  </w:style>
  <w:style w:type="paragraph" w:customStyle="1" w:styleId="280">
    <w:name w:val="Char Char Char Char Char Char1"/>
    <w:basedOn w:val="22"/>
    <w:qFormat/>
    <w:uiPriority w:val="0"/>
    <w:rPr>
      <w:rFonts w:ascii="Tahoma" w:hAnsi="Tahoma"/>
      <w:sz w:val="24"/>
    </w:rPr>
  </w:style>
  <w:style w:type="paragraph" w:customStyle="1" w:styleId="281">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2">
    <w:name w:val="Char Char1 Char Char Char Char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83">
    <w:name w:val="16K"/>
    <w:basedOn w:val="1"/>
    <w:qFormat/>
    <w:uiPriority w:val="0"/>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2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285">
    <w:name w:val="CN Level 1 List"/>
    <w:basedOn w:val="79"/>
    <w:qFormat/>
    <w:uiPriority w:val="0"/>
    <w:pPr>
      <w:numPr>
        <w:ilvl w:val="2"/>
        <w:numId w:val="1"/>
      </w:numPr>
      <w:tabs>
        <w:tab w:val="left" w:pos="360"/>
        <w:tab w:val="left" w:pos="900"/>
        <w:tab w:val="left" w:pos="1260"/>
        <w:tab w:val="left" w:pos="1560"/>
        <w:tab w:val="left" w:pos="1838"/>
        <w:tab w:val="clear" w:pos="840"/>
      </w:tabs>
      <w:ind w:left="720" w:hanging="420"/>
    </w:pPr>
  </w:style>
  <w:style w:type="paragraph" w:customStyle="1" w:styleId="28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Char Char16 Char Char1 Char Char Char Char"/>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88">
    <w:name w:val="et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89">
    <w:name w:val="标题2"/>
    <w:basedOn w:val="3"/>
    <w:qFormat/>
    <w:uiPriority w:val="0"/>
    <w:pPr>
      <w:autoSpaceDE/>
      <w:autoSpaceDN/>
      <w:adjustRightInd/>
      <w:spacing w:line="416" w:lineRule="auto"/>
      <w:jc w:val="left"/>
      <w:textAlignment w:val="auto"/>
    </w:pPr>
    <w:rPr>
      <w:rFonts w:ascii="黑体" w:hAnsi="宋体" w:eastAsia="黑体"/>
      <w:bCs/>
      <w:kern w:val="2"/>
      <w:sz w:val="28"/>
      <w:szCs w:val="28"/>
    </w:rPr>
  </w:style>
  <w:style w:type="paragraph" w:customStyle="1" w:styleId="290">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1">
    <w:name w:val="cixi 正文"/>
    <w:basedOn w:val="1"/>
    <w:qFormat/>
    <w:uiPriority w:val="0"/>
    <w:pPr>
      <w:ind w:firstLine="200" w:firstLineChars="200"/>
    </w:pPr>
    <w:rPr>
      <w:rFonts w:ascii="Calibri" w:hAnsi="Calibri" w:eastAsia="仿宋_GB2312" w:cs="Calibri"/>
      <w:sz w:val="28"/>
    </w:rPr>
  </w:style>
  <w:style w:type="paragraph" w:customStyle="1" w:styleId="292">
    <w:name w:val="Body B"/>
    <w:basedOn w:val="1"/>
    <w:qFormat/>
    <w:uiPriority w:val="0"/>
    <w:pPr>
      <w:widowControl/>
      <w:spacing w:after="260" w:line="260" w:lineRule="atLeast"/>
      <w:jc w:val="left"/>
    </w:pPr>
    <w:rPr>
      <w:rFonts w:ascii="Palatino" w:hAnsi="Palatino"/>
      <w:kern w:val="22"/>
      <w:sz w:val="22"/>
      <w:szCs w:val="20"/>
    </w:rPr>
  </w:style>
  <w:style w:type="paragraph" w:customStyle="1" w:styleId="293">
    <w:name w:val="Char Char17"/>
    <w:basedOn w:val="1"/>
    <w:qFormat/>
    <w:uiPriority w:val="0"/>
    <w:pPr>
      <w:widowControl/>
      <w:jc w:val="left"/>
    </w:pPr>
    <w:rPr>
      <w:rFonts w:ascii="宋体" w:hAnsi="宋体" w:cs="Calibri"/>
      <w:b/>
      <w:bCs/>
      <w:kern w:val="44"/>
      <w:szCs w:val="21"/>
    </w:rPr>
  </w:style>
  <w:style w:type="paragraph" w:customStyle="1" w:styleId="294">
    <w:name w:val="CN Table Text"/>
    <w:basedOn w:val="79"/>
    <w:qFormat/>
    <w:uiPriority w:val="0"/>
    <w:pPr>
      <w:numPr>
        <w:ilvl w:val="0"/>
        <w:numId w:val="2"/>
      </w:numPr>
      <w:tabs>
        <w:tab w:val="left" w:pos="420"/>
        <w:tab w:val="left" w:pos="780"/>
        <w:tab w:val="left" w:pos="960"/>
        <w:tab w:val="left" w:pos="1080"/>
        <w:tab w:val="clear" w:pos="840"/>
      </w:tabs>
      <w:spacing w:before="0" w:after="0"/>
      <w:ind w:left="420" w:hanging="420"/>
    </w:pPr>
    <w:rPr>
      <w:sz w:val="18"/>
    </w:rPr>
  </w:style>
  <w:style w:type="paragraph" w:customStyle="1" w:styleId="295">
    <w:name w:val="CN Completion Criteria Header"/>
    <w:basedOn w:val="79"/>
    <w:next w:val="79"/>
    <w:qFormat/>
    <w:uiPriority w:val="0"/>
    <w:pPr>
      <w:keepNext/>
      <w:keepLines/>
      <w:numPr>
        <w:ilvl w:val="2"/>
        <w:numId w:val="2"/>
      </w:numPr>
      <w:tabs>
        <w:tab w:val="left" w:pos="1800"/>
        <w:tab w:val="left" w:pos="1838"/>
        <w:tab w:val="clear" w:pos="840"/>
      </w:tabs>
    </w:pPr>
  </w:style>
  <w:style w:type="paragraph" w:customStyle="1" w:styleId="296">
    <w:name w:val="Char Char Char1 Char Char Char Char Char Char Char Char Char Char"/>
    <w:basedOn w:val="1"/>
    <w:qFormat/>
    <w:uiPriority w:val="0"/>
    <w:pPr>
      <w:adjustRightInd w:val="0"/>
      <w:spacing w:after="160" w:line="240" w:lineRule="exact"/>
    </w:pPr>
    <w:rPr>
      <w:rFonts w:ascii="Verdana" w:hAnsi="Verdana" w:eastAsia="PMingLiU" w:cs="Verdana"/>
      <w:kern w:val="0"/>
      <w:sz w:val="20"/>
      <w:szCs w:val="20"/>
      <w:lang w:eastAsia="en-US"/>
    </w:rPr>
  </w:style>
  <w:style w:type="paragraph" w:customStyle="1" w:styleId="29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298">
    <w:name w:val="1-8"/>
    <w:basedOn w:val="1"/>
    <w:qFormat/>
    <w:uiPriority w:val="0"/>
    <w:pPr>
      <w:spacing w:line="360" w:lineRule="auto"/>
      <w:ind w:left="158" w:leftChars="75" w:firstLine="420" w:firstLineChars="200"/>
    </w:pPr>
    <w:rPr>
      <w:rFonts w:ascii="Calibri" w:hAnsi="Calibri" w:cs="Calibri"/>
      <w:szCs w:val="21"/>
    </w:rPr>
  </w:style>
  <w:style w:type="paragraph" w:customStyle="1" w:styleId="299">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00">
    <w:name w:val="Char Char Char1 Char1"/>
    <w:basedOn w:val="22"/>
    <w:qFormat/>
    <w:uiPriority w:val="0"/>
    <w:rPr>
      <w:rFonts w:ascii="Tahoma" w:hAnsi="Tahoma"/>
      <w:sz w:val="24"/>
    </w:rPr>
  </w:style>
  <w:style w:type="paragraph" w:customStyle="1" w:styleId="301">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2">
    <w:name w:val="Char Char Char Char Char Char Char1"/>
    <w:basedOn w:val="1"/>
    <w:link w:val="513"/>
    <w:qFormat/>
    <w:uiPriority w:val="0"/>
    <w:rPr>
      <w:rFonts w:ascii="Tahoma" w:hAnsi="Tahoma" w:cs="Tahoma"/>
      <w:sz w:val="24"/>
    </w:rPr>
  </w:style>
  <w:style w:type="paragraph" w:customStyle="1" w:styleId="303">
    <w:name w:val="Map title"/>
    <w:basedOn w:val="1"/>
    <w:qFormat/>
    <w:uiPriority w:val="0"/>
    <w:pPr>
      <w:widowControl/>
      <w:overflowPunct w:val="0"/>
      <w:autoSpaceDE w:val="0"/>
      <w:autoSpaceDN w:val="0"/>
      <w:adjustRightInd w:val="0"/>
      <w:jc w:val="left"/>
      <w:textAlignment w:val="baseline"/>
    </w:pPr>
    <w:rPr>
      <w:rFonts w:ascii="Arial" w:hAnsi="Arial"/>
      <w:b/>
      <w:kern w:val="0"/>
      <w:sz w:val="32"/>
      <w:szCs w:val="20"/>
    </w:rPr>
  </w:style>
  <w:style w:type="paragraph" w:customStyle="1" w:styleId="304">
    <w:name w:val="Char Char1 Char Char Char Char11"/>
    <w:basedOn w:val="1"/>
    <w:qFormat/>
    <w:uiPriority w:val="0"/>
    <w:pPr>
      <w:spacing w:line="360" w:lineRule="auto"/>
      <w:ind w:left="2100" w:firstLine="420"/>
    </w:pPr>
    <w:rPr>
      <w:rFonts w:ascii="宋体" w:hAnsi="宋体"/>
      <w:b/>
      <w:color w:val="000000"/>
      <w:sz w:val="30"/>
      <w:szCs w:val="30"/>
    </w:rPr>
  </w:style>
  <w:style w:type="paragraph" w:customStyle="1" w:styleId="305">
    <w:name w:val="CN Level 6 Bullet"/>
    <w:basedOn w:val="79"/>
    <w:qFormat/>
    <w:uiPriority w:val="0"/>
    <w:pPr>
      <w:numPr>
        <w:ilvl w:val="1"/>
        <w:numId w:val="2"/>
      </w:numPr>
      <w:tabs>
        <w:tab w:val="left" w:pos="780"/>
        <w:tab w:val="left" w:pos="1380"/>
        <w:tab w:val="clear" w:pos="840"/>
      </w:tabs>
    </w:pPr>
  </w:style>
  <w:style w:type="paragraph" w:customStyle="1" w:styleId="306">
    <w:name w:val="样式 标题 2 + Times New Roman 四号 非加粗 段前: 5 磅 段后: 0 磅 行距: 固定值 20..."/>
    <w:basedOn w:val="3"/>
    <w:next w:val="43"/>
    <w:qFormat/>
    <w:uiPriority w:val="0"/>
    <w:pPr>
      <w:autoSpaceDE/>
      <w:autoSpaceDN/>
      <w:adjustRightInd/>
      <w:spacing w:before="100" w:after="0" w:line="400" w:lineRule="exact"/>
      <w:textAlignment w:val="auto"/>
    </w:pPr>
    <w:rPr>
      <w:rFonts w:ascii="Times New Roman" w:eastAsia="黑体" w:cs="宋体"/>
      <w:kern w:val="2"/>
      <w:sz w:val="28"/>
    </w:rPr>
  </w:style>
  <w:style w:type="paragraph" w:customStyle="1" w:styleId="307">
    <w:name w:val="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30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309">
    <w:name w:val="Char Char Char Char1"/>
    <w:basedOn w:val="1"/>
    <w:qFormat/>
    <w:uiPriority w:val="0"/>
    <w:rPr>
      <w:rFonts w:ascii="Tahoma" w:hAnsi="Tahoma"/>
      <w:b/>
      <w:sz w:val="24"/>
      <w:szCs w:val="20"/>
    </w:rPr>
  </w:style>
  <w:style w:type="paragraph" w:customStyle="1" w:styleId="310">
    <w:name w:val="font16"/>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311">
    <w:name w:val="Char Char Char Char Char Char Char Char"/>
    <w:basedOn w:val="1"/>
    <w:qFormat/>
    <w:uiPriority w:val="0"/>
    <w:pPr>
      <w:widowControl/>
      <w:spacing w:before="120" w:after="120" w:line="440" w:lineRule="exact"/>
      <w:jc w:val="left"/>
    </w:pPr>
    <w:rPr>
      <w:rFonts w:ascii="宋体" w:hAnsi="宋体" w:cs="Calibri"/>
      <w:kern w:val="0"/>
      <w:sz w:val="22"/>
      <w:szCs w:val="22"/>
    </w:rPr>
  </w:style>
  <w:style w:type="paragraph" w:customStyle="1" w:styleId="312">
    <w:name w:val="样式5"/>
    <w:basedOn w:val="1"/>
    <w:qFormat/>
    <w:uiPriority w:val="0"/>
    <w:pPr>
      <w:widowControl/>
      <w:snapToGrid w:val="0"/>
      <w:spacing w:line="440" w:lineRule="atLeast"/>
      <w:ind w:firstLine="425"/>
    </w:pPr>
    <w:rPr>
      <w:sz w:val="24"/>
      <w:szCs w:val="20"/>
    </w:rPr>
  </w:style>
  <w:style w:type="paragraph" w:customStyle="1" w:styleId="313">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31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5">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6">
    <w:name w:val="Char Char Char Char Char Char Char21"/>
    <w:basedOn w:val="1"/>
    <w:qFormat/>
    <w:uiPriority w:val="0"/>
    <w:pPr>
      <w:widowControl/>
      <w:spacing w:before="120" w:after="120" w:line="440" w:lineRule="exact"/>
      <w:jc w:val="left"/>
    </w:pPr>
    <w:rPr>
      <w:rFonts w:ascii="宋体" w:hAnsi="宋体" w:cs="Calibri"/>
      <w:kern w:val="0"/>
      <w:sz w:val="28"/>
      <w:szCs w:val="28"/>
    </w:rPr>
  </w:style>
  <w:style w:type="paragraph" w:customStyle="1" w:styleId="317">
    <w:name w:val="CN Internal Note Level 2 Bullet"/>
    <w:basedOn w:val="267"/>
    <w:qFormat/>
    <w:uiPriority w:val="0"/>
    <w:pPr>
      <w:numPr>
        <w:ilvl w:val="0"/>
        <w:numId w:val="1"/>
      </w:numPr>
      <w:tabs>
        <w:tab w:val="left" w:pos="420"/>
        <w:tab w:val="left" w:pos="510"/>
        <w:tab w:val="left" w:pos="780"/>
        <w:tab w:val="left" w:pos="900"/>
        <w:tab w:val="clear" w:pos="360"/>
      </w:tabs>
      <w:ind w:left="360" w:hanging="420"/>
    </w:pPr>
  </w:style>
  <w:style w:type="paragraph" w:customStyle="1" w:styleId="318">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31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0">
    <w:name w:val="Char Char1 Char Char Char Char Char Char Char Char2"/>
    <w:basedOn w:val="1"/>
    <w:qFormat/>
    <w:uiPriority w:val="0"/>
    <w:pPr>
      <w:spacing w:line="360" w:lineRule="auto"/>
      <w:ind w:left="2100" w:firstLine="420"/>
    </w:pPr>
    <w:rPr>
      <w:rFonts w:ascii="宋体" w:hAnsi="宋体" w:cs="Calibri"/>
      <w:b/>
      <w:color w:val="000000"/>
      <w:sz w:val="30"/>
      <w:szCs w:val="30"/>
    </w:rPr>
  </w:style>
  <w:style w:type="paragraph" w:customStyle="1" w:styleId="32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322">
    <w:name w:val="Char Char Char Char Char Char2"/>
    <w:basedOn w:val="1"/>
    <w:qFormat/>
    <w:uiPriority w:val="0"/>
    <w:pPr>
      <w:widowControl/>
      <w:spacing w:before="120" w:after="120" w:line="440" w:lineRule="exact"/>
      <w:jc w:val="left"/>
    </w:pPr>
    <w:rPr>
      <w:rFonts w:ascii="宋体" w:hAnsi="宋体" w:cs="Calibri"/>
      <w:kern w:val="0"/>
      <w:sz w:val="22"/>
      <w:szCs w:val="22"/>
    </w:rPr>
  </w:style>
  <w:style w:type="paragraph" w:customStyle="1" w:styleId="323">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24">
    <w:name w:val="CN Level 3 List"/>
    <w:basedOn w:val="79"/>
    <w:qFormat/>
    <w:uiPriority w:val="0"/>
    <w:pPr>
      <w:tabs>
        <w:tab w:val="left" w:pos="360"/>
        <w:tab w:val="clear" w:pos="840"/>
      </w:tabs>
    </w:pPr>
  </w:style>
  <w:style w:type="paragraph" w:customStyle="1" w:styleId="325">
    <w:name w:val="CN Deliverable Materials Header"/>
    <w:basedOn w:val="79"/>
    <w:next w:val="79"/>
    <w:qFormat/>
    <w:uiPriority w:val="0"/>
    <w:pPr>
      <w:keepNext/>
      <w:keepLines/>
      <w:numPr>
        <w:ilvl w:val="3"/>
        <w:numId w:val="2"/>
      </w:numPr>
      <w:tabs>
        <w:tab w:val="left" w:pos="2220"/>
        <w:tab w:val="left" w:pos="2404"/>
        <w:tab w:val="clear" w:pos="840"/>
      </w:tabs>
    </w:pPr>
  </w:style>
  <w:style w:type="paragraph" w:customStyle="1" w:styleId="326">
    <w:name w:val="列出段落11"/>
    <w:basedOn w:val="1"/>
    <w:qFormat/>
    <w:uiPriority w:val="34"/>
    <w:pPr>
      <w:ind w:firstLine="420" w:firstLineChars="200"/>
    </w:pPr>
    <w:rPr>
      <w:rFonts w:ascii="Calibri" w:hAnsi="Calibri"/>
      <w:sz w:val="24"/>
      <w:szCs w:val="22"/>
    </w:rPr>
  </w:style>
  <w:style w:type="paragraph" w:customStyle="1" w:styleId="327">
    <w:name w:val="CN Level 5 List"/>
    <w:basedOn w:val="79"/>
    <w:qFormat/>
    <w:uiPriority w:val="0"/>
    <w:pPr>
      <w:tabs>
        <w:tab w:val="left" w:pos="360"/>
        <w:tab w:val="clear" w:pos="840"/>
      </w:tabs>
      <w:ind w:left="2160" w:hanging="360"/>
    </w:pPr>
  </w:style>
  <w:style w:type="paragraph" w:customStyle="1" w:styleId="328">
    <w:name w:val="11"/>
    <w:basedOn w:val="22"/>
    <w:qFormat/>
    <w:uiPriority w:val="0"/>
    <w:rPr>
      <w:rFonts w:ascii="Tahoma" w:hAnsi="Tahoma"/>
      <w:sz w:val="24"/>
    </w:rPr>
  </w:style>
  <w:style w:type="paragraph" w:customStyle="1" w:styleId="329">
    <w:name w:val="p17"/>
    <w:basedOn w:val="1"/>
    <w:qFormat/>
    <w:uiPriority w:val="0"/>
    <w:pPr>
      <w:widowControl/>
      <w:ind w:firstLine="420"/>
    </w:pPr>
    <w:rPr>
      <w:kern w:val="0"/>
      <w:szCs w:val="21"/>
    </w:rPr>
  </w:style>
  <w:style w:type="paragraph" w:customStyle="1" w:styleId="330">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331">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32">
    <w:name w:val="Char Char2 Char Char2"/>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333">
    <w:name w:val="前言、引言标题"/>
    <w:next w:val="1"/>
    <w:qFormat/>
    <w:uiPriority w:val="0"/>
    <w:pPr>
      <w:shd w:val="clear" w:color="FFFFFF" w:fill="FFFFFF"/>
      <w:tabs>
        <w:tab w:val="left" w:pos="360"/>
        <w:tab w:val="left" w:pos="490"/>
      </w:tabs>
      <w:spacing w:before="640" w:after="560"/>
      <w:ind w:left="490" w:hanging="490"/>
      <w:jc w:val="center"/>
      <w:outlineLvl w:val="0"/>
    </w:pPr>
    <w:rPr>
      <w:rFonts w:ascii="黑体" w:hAnsi="Times New Roman" w:eastAsia="黑体" w:cs="Times New Roman"/>
      <w:sz w:val="32"/>
      <w:lang w:val="en-US" w:eastAsia="zh-CN" w:bidi="ar-SA"/>
    </w:rPr>
  </w:style>
  <w:style w:type="paragraph" w:customStyle="1" w:styleId="334">
    <w:name w:val="表格正文"/>
    <w:basedOn w:val="1"/>
    <w:qFormat/>
    <w:uiPriority w:val="0"/>
    <w:pPr>
      <w:snapToGrid w:val="0"/>
      <w:spacing w:line="300" w:lineRule="auto"/>
    </w:pPr>
    <w:rPr>
      <w:rFonts w:ascii="Calibri" w:hAnsi="Calibri" w:cs="Calibri"/>
    </w:rPr>
  </w:style>
  <w:style w:type="paragraph" w:customStyle="1" w:styleId="335">
    <w:name w:val="Char Char Char Char Char Char Char Char Char1"/>
    <w:basedOn w:val="22"/>
    <w:qFormat/>
    <w:uiPriority w:val="0"/>
    <w:rPr>
      <w:rFonts w:ascii="Tahoma" w:hAnsi="Tahoma"/>
      <w:sz w:val="24"/>
    </w:rPr>
  </w:style>
  <w:style w:type="paragraph" w:customStyle="1" w:styleId="336">
    <w:name w:val="Level 1 Header"/>
    <w:basedOn w:val="1"/>
    <w:qFormat/>
    <w:uiPriority w:val="0"/>
    <w:pPr>
      <w:keepNext/>
      <w:widowControl/>
      <w:spacing w:after="60"/>
    </w:pPr>
    <w:rPr>
      <w:rFonts w:ascii="Arial" w:hAnsi="Arial"/>
      <w:b/>
      <w:kern w:val="0"/>
      <w:sz w:val="18"/>
      <w:lang w:eastAsia="en-US"/>
    </w:rPr>
  </w:style>
  <w:style w:type="paragraph" w:customStyle="1" w:styleId="337">
    <w:name w:val="unnamed1"/>
    <w:basedOn w:val="1"/>
    <w:qFormat/>
    <w:uiPriority w:val="0"/>
    <w:pPr>
      <w:widowControl/>
      <w:spacing w:before="100" w:beforeAutospacing="1" w:after="100" w:afterAutospacing="1"/>
      <w:jc w:val="left"/>
    </w:pPr>
    <w:rPr>
      <w:rFonts w:ascii="宋体" w:hAnsi="宋体"/>
      <w:kern w:val="0"/>
      <w:sz w:val="24"/>
    </w:rPr>
  </w:style>
  <w:style w:type="paragraph" w:customStyle="1" w:styleId="338">
    <w:name w:val="Default Text"/>
    <w:basedOn w:val="1"/>
    <w:qFormat/>
    <w:uiPriority w:val="0"/>
    <w:pPr>
      <w:spacing w:line="360" w:lineRule="auto"/>
    </w:pPr>
    <w:rPr>
      <w:rFonts w:ascii="Calibri" w:hAnsi="Calibri" w:eastAsia="仿宋_GB2312" w:cs="Calibri"/>
      <w:snapToGrid w:val="0"/>
      <w:sz w:val="24"/>
    </w:rPr>
  </w:style>
  <w:style w:type="paragraph" w:customStyle="1" w:styleId="339">
    <w:name w:val="样式 正文段落(1级) + 首行缩进:  2 字符 段后: 0.5 行"/>
    <w:basedOn w:val="1"/>
    <w:qFormat/>
    <w:uiPriority w:val="0"/>
    <w:pPr>
      <w:spacing w:afterLines="50" w:line="360" w:lineRule="auto"/>
      <w:ind w:firstLine="480" w:firstLineChars="200"/>
    </w:pPr>
    <w:rPr>
      <w:rFonts w:ascii="宋体" w:hAnsi="宋体" w:cs="宋体"/>
      <w:sz w:val="24"/>
      <w:szCs w:val="20"/>
    </w:rPr>
  </w:style>
  <w:style w:type="paragraph" w:customStyle="1" w:styleId="340">
    <w:name w:val="s1"/>
    <w:basedOn w:val="17"/>
    <w:qFormat/>
    <w:uiPriority w:val="0"/>
    <w:pPr>
      <w:ind w:left="720" w:hanging="720"/>
    </w:pPr>
    <w:rPr>
      <w:rFonts w:ascii="Times New Roman" w:hAnsi="Times New Roman"/>
      <w:color w:val="auto"/>
      <w:kern w:val="0"/>
      <w:sz w:val="22"/>
      <w:szCs w:val="20"/>
      <w:lang w:val="en-GB" w:eastAsia="en-US"/>
    </w:rPr>
  </w:style>
  <w:style w:type="paragraph" w:customStyle="1" w:styleId="341">
    <w:name w:val="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342">
    <w:name w:val="Body Single"/>
    <w:basedOn w:val="1"/>
    <w:qFormat/>
    <w:uiPriority w:val="0"/>
    <w:pPr>
      <w:widowControl/>
      <w:spacing w:line="260" w:lineRule="atLeast"/>
      <w:jc w:val="left"/>
    </w:pPr>
    <w:rPr>
      <w:rFonts w:ascii="宋体" w:hAnsi="宋体" w:cs="Calibri"/>
      <w:kern w:val="0"/>
      <w:sz w:val="20"/>
      <w:szCs w:val="20"/>
      <w:lang w:eastAsia="en-US"/>
    </w:rPr>
  </w:style>
  <w:style w:type="paragraph" w:customStyle="1" w:styleId="343">
    <w:name w:val="??????????¨¬??????????????¨¬??????????????¡ì?????????????¨¬???????????¨¬?????????????¨¬????o?????????????¡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44">
    <w:name w:val="Char Char Char Char Char Char Char Char Char Char"/>
    <w:basedOn w:val="22"/>
    <w:qFormat/>
    <w:uiPriority w:val="0"/>
    <w:rPr>
      <w:rFonts w:ascii="Tahoma" w:hAnsi="Tahoma"/>
      <w:sz w:val="24"/>
    </w:rPr>
  </w:style>
  <w:style w:type="paragraph" w:customStyle="1" w:styleId="345">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6">
    <w:name w:val="正文段落(1级)"/>
    <w:basedOn w:val="1"/>
    <w:qFormat/>
    <w:uiPriority w:val="0"/>
    <w:pPr>
      <w:spacing w:afterLines="50" w:line="360" w:lineRule="auto"/>
      <w:ind w:firstLine="200" w:firstLineChars="200"/>
    </w:pPr>
    <w:rPr>
      <w:sz w:val="24"/>
    </w:rPr>
  </w:style>
  <w:style w:type="paragraph" w:customStyle="1" w:styleId="347">
    <w:name w:val="正文缩进1"/>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348">
    <w:name w:val="Body Text 21"/>
    <w:basedOn w:val="1"/>
    <w:qFormat/>
    <w:uiPriority w:val="0"/>
    <w:pPr>
      <w:overflowPunct w:val="0"/>
      <w:autoSpaceDE w:val="0"/>
      <w:autoSpaceDN w:val="0"/>
      <w:adjustRightInd w:val="0"/>
      <w:ind w:firstLine="560"/>
      <w:textAlignment w:val="baseline"/>
    </w:pPr>
    <w:rPr>
      <w:rFonts w:ascii="Arial" w:hAnsi="Arial" w:cs="Arial"/>
      <w:sz w:val="28"/>
      <w:szCs w:val="28"/>
    </w:rPr>
  </w:style>
  <w:style w:type="paragraph" w:customStyle="1" w:styleId="349">
    <w:name w:val="CN Internal Note End"/>
    <w:basedOn w:val="267"/>
    <w:next w:val="79"/>
    <w:qFormat/>
    <w:uiPriority w:val="0"/>
    <w:pPr>
      <w:keepLines/>
      <w:numPr>
        <w:ilvl w:val="1"/>
        <w:numId w:val="5"/>
      </w:numPr>
      <w:pBdr>
        <w:bottom w:val="single" w:color="FF0000" w:sz="18" w:space="1"/>
      </w:pBdr>
      <w:tabs>
        <w:tab w:val="left" w:pos="840"/>
        <w:tab w:val="left" w:pos="1320"/>
        <w:tab w:val="clear" w:pos="360"/>
      </w:tabs>
      <w:spacing w:before="0" w:after="72"/>
      <w:ind w:left="0" w:firstLine="0"/>
    </w:pPr>
  </w:style>
  <w:style w:type="paragraph" w:customStyle="1" w:styleId="35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51">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3">
    <w:name w:val="Table Text"/>
    <w:basedOn w:val="1"/>
    <w:qFormat/>
    <w:uiPriority w:val="0"/>
    <w:pPr>
      <w:widowControl/>
      <w:spacing w:before="60" w:after="60"/>
      <w:jc w:val="left"/>
    </w:pPr>
    <w:rPr>
      <w:kern w:val="0"/>
    </w:rPr>
  </w:style>
  <w:style w:type="paragraph" w:customStyle="1" w:styleId="35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
    <w:name w:val="图表脚注"/>
    <w:next w:val="1"/>
    <w:qFormat/>
    <w:uiPriority w:val="0"/>
    <w:pPr>
      <w:tabs>
        <w:tab w:val="left" w:pos="2520"/>
      </w:tabs>
      <w:ind w:left="300" w:leftChars="200" w:hanging="100" w:hangingChars="100"/>
      <w:jc w:val="both"/>
    </w:pPr>
    <w:rPr>
      <w:rFonts w:ascii="宋体" w:hAnsi="Times New Roman" w:eastAsia="宋体" w:cs="Times New Roman"/>
      <w:sz w:val="18"/>
      <w:lang w:val="en-US" w:eastAsia="zh-CN" w:bidi="ar-SA"/>
    </w:rPr>
  </w:style>
  <w:style w:type="paragraph" w:customStyle="1" w:styleId="356">
    <w:name w:val="Block line"/>
    <w:basedOn w:val="1"/>
    <w:qFormat/>
    <w:uiPriority w:val="0"/>
    <w:pPr>
      <w:keepLines/>
      <w:widowControl/>
      <w:pBdr>
        <w:top w:val="single" w:color="auto" w:sz="6" w:space="0"/>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357">
    <w:name w:val="CN Internal Note Level 1 List"/>
    <w:basedOn w:val="267"/>
    <w:qFormat/>
    <w:uiPriority w:val="0"/>
    <w:pPr>
      <w:numPr>
        <w:ilvl w:val="4"/>
        <w:numId w:val="2"/>
      </w:numPr>
      <w:tabs>
        <w:tab w:val="left" w:pos="2640"/>
        <w:tab w:val="left" w:pos="2971"/>
        <w:tab w:val="clear" w:pos="360"/>
      </w:tabs>
    </w:pPr>
  </w:style>
  <w:style w:type="paragraph" w:customStyle="1" w:styleId="358">
    <w:name w:val="_Style 1"/>
    <w:basedOn w:val="1"/>
    <w:qFormat/>
    <w:uiPriority w:val="34"/>
    <w:pPr>
      <w:ind w:left="720"/>
      <w:contextualSpacing/>
    </w:pPr>
    <w:rPr>
      <w:rFonts w:ascii="Calibri" w:hAnsi="Calibri"/>
      <w:szCs w:val="22"/>
    </w:rPr>
  </w:style>
  <w:style w:type="paragraph" w:customStyle="1" w:styleId="359">
    <w:name w:val="form caption 5pt"/>
    <w:basedOn w:val="1"/>
    <w:qFormat/>
    <w:uiPriority w:val="0"/>
    <w:pPr>
      <w:widowControl/>
      <w:spacing w:before="2" w:after="2"/>
      <w:ind w:left="-72"/>
      <w:jc w:val="left"/>
    </w:pPr>
    <w:rPr>
      <w:rFonts w:ascii="Helvetica" w:hAnsi="Helvetica"/>
      <w:caps/>
      <w:kern w:val="0"/>
      <w:sz w:val="10"/>
      <w:szCs w:val="20"/>
      <w:lang w:eastAsia="en-US"/>
    </w:rPr>
  </w:style>
  <w:style w:type="paragraph" w:customStyle="1" w:styleId="360">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61">
    <w:name w:val="Char Char17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36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3">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364">
    <w:name w:val="CN Level 3 Bullet"/>
    <w:basedOn w:val="79"/>
    <w:qFormat/>
    <w:uiPriority w:val="0"/>
    <w:pPr>
      <w:numPr>
        <w:ilvl w:val="5"/>
        <w:numId w:val="4"/>
      </w:numPr>
      <w:tabs>
        <w:tab w:val="left" w:pos="360"/>
        <w:tab w:val="left" w:pos="2160"/>
        <w:tab w:val="left" w:pos="3680"/>
        <w:tab w:val="clear" w:pos="840"/>
      </w:tabs>
      <w:ind w:left="720"/>
    </w:pPr>
  </w:style>
  <w:style w:type="paragraph" w:customStyle="1" w:styleId="365">
    <w:name w:val="font1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6">
    <w:name w:val="Char Char Char Char3"/>
    <w:basedOn w:val="1"/>
    <w:qFormat/>
    <w:uiPriority w:val="0"/>
    <w:rPr>
      <w:rFonts w:ascii="Tahoma" w:hAnsi="Tahoma"/>
      <w:b/>
      <w:sz w:val="24"/>
      <w:szCs w:val="20"/>
    </w:rPr>
  </w:style>
  <w:style w:type="paragraph" w:customStyle="1" w:styleId="367">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68">
    <w:name w:val="CN Paragraph Left"/>
    <w:basedOn w:val="79"/>
    <w:qFormat/>
    <w:uiPriority w:val="0"/>
    <w:pPr>
      <w:ind w:left="0"/>
    </w:pPr>
  </w:style>
  <w:style w:type="paragraph" w:customStyle="1" w:styleId="369">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0">
    <w:name w:val="一级条标题"/>
    <w:next w:val="1"/>
    <w:qFormat/>
    <w:uiPriority w:val="0"/>
    <w:pPr>
      <w:tabs>
        <w:tab w:val="left" w:pos="540"/>
        <w:tab w:val="left" w:pos="1260"/>
      </w:tabs>
      <w:ind w:left="180"/>
      <w:outlineLvl w:val="2"/>
    </w:pPr>
    <w:rPr>
      <w:rFonts w:ascii="Times New Roman" w:hAnsi="Times New Roman" w:eastAsia="黑体" w:cs="Times New Roman"/>
      <w:sz w:val="21"/>
      <w:lang w:val="en-US" w:eastAsia="zh-CN" w:bidi="ar-SA"/>
    </w:rPr>
  </w:style>
  <w:style w:type="paragraph" w:customStyle="1" w:styleId="371">
    <w:name w:val="Char Char Char Char Char Char Char Char Char1 Char Char Char Char Char Char Char"/>
    <w:basedOn w:val="22"/>
    <w:qFormat/>
    <w:uiPriority w:val="0"/>
    <w:rPr>
      <w:rFonts w:ascii="Tahoma" w:hAnsi="Tahoma"/>
      <w:sz w:val="24"/>
    </w:rPr>
  </w:style>
  <w:style w:type="paragraph" w:customStyle="1" w:styleId="372">
    <w:name w:val="Paragraph"/>
    <w:basedOn w:val="1"/>
    <w:qFormat/>
    <w:uiPriority w:val="0"/>
    <w:pPr>
      <w:widowControl/>
      <w:spacing w:before="28" w:after="28"/>
    </w:pPr>
    <w:rPr>
      <w:rFonts w:ascii="Helvetica" w:hAnsi="Helvetica"/>
      <w:kern w:val="0"/>
      <w:sz w:val="20"/>
      <w:lang w:eastAsia="en-US"/>
    </w:rPr>
  </w:style>
  <w:style w:type="paragraph" w:customStyle="1" w:styleId="373">
    <w:name w:val="CN Internal Note Level 2 List"/>
    <w:basedOn w:val="267"/>
    <w:qFormat/>
    <w:uiPriority w:val="0"/>
    <w:pPr>
      <w:tabs>
        <w:tab w:val="left" w:pos="480"/>
        <w:tab w:val="left" w:pos="840"/>
        <w:tab w:val="left" w:pos="1140"/>
        <w:tab w:val="clear" w:pos="360"/>
      </w:tabs>
      <w:ind w:left="720" w:hanging="420"/>
    </w:pPr>
  </w:style>
  <w:style w:type="paragraph" w:customStyle="1" w:styleId="374">
    <w:name w:val="Char Char Char Char Char Char Char Char Char Char Char"/>
    <w:basedOn w:val="22"/>
    <w:qFormat/>
    <w:uiPriority w:val="0"/>
    <w:rPr>
      <w:rFonts w:ascii="Tahoma" w:hAnsi="Tahoma"/>
      <w:sz w:val="24"/>
    </w:rPr>
  </w:style>
  <w:style w:type="paragraph" w:customStyle="1" w:styleId="37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6">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77">
    <w:name w:val="Char Char Char Char Char Char Char Char Char Char Char Char Char Char Char Char Char Char"/>
    <w:basedOn w:val="1"/>
    <w:qFormat/>
    <w:uiPriority w:val="0"/>
    <w:rPr>
      <w:rFonts w:ascii="Tahoma" w:hAnsi="Tahoma"/>
      <w:sz w:val="24"/>
    </w:rPr>
  </w:style>
  <w:style w:type="paragraph" w:customStyle="1" w:styleId="37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9">
    <w:name w:val="第X章"/>
    <w:basedOn w:val="46"/>
    <w:next w:val="1"/>
    <w:qFormat/>
    <w:uiPriority w:val="0"/>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3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81">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82">
    <w:name w:val="Body"/>
    <w:basedOn w:val="1"/>
    <w:qFormat/>
    <w:uiPriority w:val="0"/>
    <w:pPr>
      <w:widowControl/>
      <w:jc w:val="left"/>
    </w:pPr>
    <w:rPr>
      <w:kern w:val="0"/>
      <w:sz w:val="20"/>
      <w:szCs w:val="20"/>
    </w:rPr>
  </w:style>
  <w:style w:type="paragraph" w:customStyle="1" w:styleId="383">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38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5">
    <w:name w:val="Char1 Char Char Char Char Char Char"/>
    <w:basedOn w:val="1"/>
    <w:qFormat/>
    <w:uiPriority w:val="0"/>
    <w:pPr>
      <w:tabs>
        <w:tab w:val="left" w:pos="432"/>
      </w:tabs>
      <w:ind w:left="432" w:hanging="432"/>
    </w:pPr>
    <w:rPr>
      <w:sz w:val="24"/>
    </w:rPr>
  </w:style>
  <w:style w:type="paragraph" w:customStyle="1" w:styleId="386">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87">
    <w:name w:val="图中文字"/>
    <w:basedOn w:val="1"/>
    <w:qFormat/>
    <w:uiPriority w:val="0"/>
    <w:pPr>
      <w:adjustRightInd w:val="0"/>
      <w:snapToGrid w:val="0"/>
      <w:spacing w:line="0" w:lineRule="atLeast"/>
      <w:jc w:val="center"/>
    </w:pPr>
    <w:rPr>
      <w:sz w:val="24"/>
      <w:szCs w:val="20"/>
    </w:rPr>
  </w:style>
  <w:style w:type="paragraph" w:customStyle="1" w:styleId="388">
    <w:name w:val="???¡ì????¡ì????¡§???¡ì?¡ì???¡ì?o??????¡§???¡ì?¡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89">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9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1">
    <w:name w:val="xl7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92">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93">
    <w:name w:val="Char Char Char Char21"/>
    <w:basedOn w:val="1"/>
    <w:qFormat/>
    <w:uiPriority w:val="0"/>
    <w:rPr>
      <w:rFonts w:ascii="Tahoma" w:hAnsi="Tahoma"/>
      <w:b/>
      <w:sz w:val="24"/>
      <w:szCs w:val="20"/>
    </w:rPr>
  </w:style>
  <w:style w:type="paragraph" w:customStyle="1" w:styleId="394">
    <w:name w:val="样式 标题 1标书1 + (西文) Arial (中文) 华文仿宋 三号 段后: 7.8 磅 行距: 固定值 20 磅"/>
    <w:basedOn w:val="2"/>
    <w:qFormat/>
    <w:uiPriority w:val="0"/>
    <w:pPr>
      <w:keepLines w:val="0"/>
      <w:snapToGrid/>
      <w:spacing w:line="400" w:lineRule="exact"/>
      <w:jc w:val="both"/>
    </w:pPr>
    <w:rPr>
      <w:rFonts w:ascii="Arial" w:hAnsi="华文中宋" w:eastAsia="华文仿宋" w:cs="宋体"/>
      <w:kern w:val="28"/>
    </w:rPr>
  </w:style>
  <w:style w:type="paragraph" w:customStyle="1" w:styleId="395">
    <w:name w:val="正文1"/>
    <w:basedOn w:val="1"/>
    <w:qFormat/>
    <w:uiPriority w:val="0"/>
    <w:pPr>
      <w:tabs>
        <w:tab w:val="left" w:pos="720"/>
      </w:tabs>
      <w:adjustRightInd w:val="0"/>
      <w:spacing w:line="312" w:lineRule="atLeast"/>
      <w:textAlignment w:val="baseline"/>
    </w:pPr>
    <w:rPr>
      <w:kern w:val="0"/>
      <w:szCs w:val="20"/>
    </w:rPr>
  </w:style>
  <w:style w:type="paragraph" w:customStyle="1" w:styleId="396">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仿宋_GB2312" w:hAnsi="宋体" w:eastAsia="仿宋_GB2312" w:cs="宋体"/>
      <w:color w:val="000000"/>
      <w:kern w:val="0"/>
      <w:sz w:val="24"/>
    </w:rPr>
  </w:style>
  <w:style w:type="paragraph" w:customStyle="1" w:styleId="397">
    <w:name w:val="Char11"/>
    <w:basedOn w:val="1"/>
    <w:qFormat/>
    <w:uiPriority w:val="0"/>
    <w:rPr>
      <w:szCs w:val="20"/>
    </w:rPr>
  </w:style>
  <w:style w:type="paragraph" w:customStyle="1" w:styleId="398">
    <w:name w:val="SubFooter"/>
    <w:basedOn w:val="43"/>
    <w:qFormat/>
    <w:uiPriority w:val="0"/>
    <w:pPr>
      <w:widowControl/>
      <w:tabs>
        <w:tab w:val="left" w:pos="1276"/>
        <w:tab w:val="right" w:pos="9356"/>
        <w:tab w:val="clear" w:pos="4153"/>
        <w:tab w:val="clear" w:pos="830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399">
    <w:name w:val="规范正文"/>
    <w:basedOn w:val="1"/>
    <w:qFormat/>
    <w:uiPriority w:val="0"/>
    <w:pPr>
      <w:adjustRightInd w:val="0"/>
      <w:spacing w:line="360" w:lineRule="auto"/>
      <w:ind w:left="480"/>
      <w:textAlignment w:val="baseline"/>
    </w:pPr>
    <w:rPr>
      <w:kern w:val="0"/>
      <w:sz w:val="24"/>
      <w:szCs w:val="20"/>
    </w:rPr>
  </w:style>
  <w:style w:type="paragraph" w:customStyle="1" w:styleId="400">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1">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2">
    <w:name w:val="章标题"/>
    <w:next w:val="1"/>
    <w:qFormat/>
    <w:uiPriority w:val="0"/>
    <w:pPr>
      <w:tabs>
        <w:tab w:val="left" w:pos="840"/>
      </w:tabs>
      <w:spacing w:beforeLines="50" w:afterLines="50"/>
      <w:jc w:val="both"/>
      <w:outlineLvl w:val="1"/>
    </w:pPr>
    <w:rPr>
      <w:rFonts w:ascii="黑体" w:hAnsi="Times New Roman" w:eastAsia="黑体" w:cs="Times New Roman"/>
      <w:sz w:val="21"/>
      <w:lang w:val="en-US" w:eastAsia="zh-CN" w:bidi="ar-SA"/>
    </w:rPr>
  </w:style>
  <w:style w:type="paragraph" w:customStyle="1" w:styleId="40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04">
    <w:name w:val="CN Assumptions Header"/>
    <w:basedOn w:val="79"/>
    <w:next w:val="79"/>
    <w:qFormat/>
    <w:uiPriority w:val="0"/>
    <w:pPr>
      <w:keepNext/>
      <w:keepLines/>
      <w:numPr>
        <w:ilvl w:val="2"/>
        <w:numId w:val="4"/>
      </w:numPr>
      <w:tabs>
        <w:tab w:val="left" w:pos="360"/>
        <w:tab w:val="left" w:pos="720"/>
        <w:tab w:val="left" w:pos="900"/>
        <w:tab w:val="left" w:pos="1838"/>
        <w:tab w:val="clear" w:pos="840"/>
      </w:tabs>
      <w:ind w:left="720"/>
    </w:pPr>
  </w:style>
  <w:style w:type="paragraph" w:customStyle="1" w:styleId="40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6">
    <w:name w:val="实施日期"/>
    <w:basedOn w:val="1"/>
    <w:qFormat/>
    <w:uiPriority w:val="0"/>
    <w:pPr>
      <w:widowControl/>
      <w:tabs>
        <w:tab w:val="left" w:pos="2100"/>
      </w:tabs>
      <w:jc w:val="right"/>
    </w:pPr>
    <w:rPr>
      <w:rFonts w:eastAsia="黑体"/>
      <w:kern w:val="0"/>
      <w:sz w:val="28"/>
      <w:szCs w:val="20"/>
    </w:rPr>
  </w:style>
  <w:style w:type="paragraph" w:customStyle="1" w:styleId="407">
    <w:name w:val="样式 样式 首行缩进:  8.5 毫米 + 首行缩进:  2 字符"/>
    <w:basedOn w:val="1"/>
    <w:qFormat/>
    <w:uiPriority w:val="0"/>
    <w:pPr>
      <w:ind w:firstLine="200" w:firstLineChars="200"/>
    </w:pPr>
    <w:rPr>
      <w:rFonts w:cs="宋体"/>
      <w:sz w:val="24"/>
      <w:szCs w:val="20"/>
    </w:rPr>
  </w:style>
  <w:style w:type="paragraph" w:customStyle="1" w:styleId="408">
    <w:name w:val="p0"/>
    <w:basedOn w:val="1"/>
    <w:qFormat/>
    <w:uiPriority w:val="0"/>
    <w:pPr>
      <w:widowControl/>
    </w:pPr>
    <w:rPr>
      <w:kern w:val="0"/>
      <w:szCs w:val="21"/>
    </w:rPr>
  </w:style>
  <w:style w:type="paragraph" w:customStyle="1" w:styleId="409">
    <w:name w:val="Char Char1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410">
    <w:name w:val="font12"/>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411">
    <w:name w:val="Char Char Char Char2 Char Char1"/>
    <w:basedOn w:val="1"/>
    <w:qFormat/>
    <w:uiPriority w:val="0"/>
    <w:pPr>
      <w:spacing w:line="360" w:lineRule="auto"/>
      <w:ind w:firstLine="420"/>
    </w:pPr>
    <w:rPr>
      <w:snapToGrid w:val="0"/>
      <w:sz w:val="24"/>
      <w:szCs w:val="20"/>
    </w:rPr>
  </w:style>
  <w:style w:type="paragraph" w:customStyle="1" w:styleId="412">
    <w:name w:val="CN Level 1 Bullet"/>
    <w:basedOn w:val="79"/>
    <w:qFormat/>
    <w:uiPriority w:val="0"/>
    <w:pPr>
      <w:numPr>
        <w:ilvl w:val="3"/>
        <w:numId w:val="4"/>
      </w:numPr>
      <w:tabs>
        <w:tab w:val="left" w:pos="360"/>
        <w:tab w:val="left" w:pos="1320"/>
        <w:tab w:val="left" w:pos="2404"/>
        <w:tab w:val="clear" w:pos="840"/>
      </w:tabs>
      <w:ind w:left="0" w:firstLine="0"/>
    </w:pPr>
  </w:style>
  <w:style w:type="paragraph" w:customStyle="1" w:styleId="413">
    <w:name w:val="Char Char Char Char2"/>
    <w:basedOn w:val="1"/>
    <w:qFormat/>
    <w:uiPriority w:val="0"/>
    <w:rPr>
      <w:rFonts w:ascii="Tahoma" w:hAnsi="Tahoma"/>
      <w:b/>
      <w:sz w:val="24"/>
      <w:szCs w:val="20"/>
    </w:rPr>
  </w:style>
  <w:style w:type="paragraph" w:customStyle="1" w:styleId="414">
    <w:name w:val="xl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15">
    <w:name w:val="font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6">
    <w:name w:val="CN Level 1 Text"/>
    <w:basedOn w:val="79"/>
    <w:qFormat/>
    <w:uiPriority w:val="0"/>
    <w:pPr>
      <w:tabs>
        <w:tab w:val="clear" w:pos="840"/>
      </w:tabs>
      <w:ind w:left="0" w:firstLine="0"/>
    </w:pPr>
  </w:style>
  <w:style w:type="paragraph" w:customStyle="1" w:styleId="417">
    <w:name w:val="Style1"/>
    <w:basedOn w:val="2"/>
    <w:qFormat/>
    <w:uiPriority w:val="0"/>
    <w:pPr>
      <w:keepLines w:val="0"/>
      <w:widowControl/>
      <w:tabs>
        <w:tab w:val="left" w:pos="360"/>
      </w:tabs>
      <w:snapToGrid/>
      <w:jc w:val="left"/>
    </w:pPr>
    <w:rPr>
      <w:rFonts w:ascii="FZHei-B01" w:hAnsi="Times New Roman" w:eastAsia="FZHei-B01"/>
      <w:bCs w:val="0"/>
      <w:kern w:val="28"/>
    </w:rPr>
  </w:style>
  <w:style w:type="paragraph" w:customStyle="1" w:styleId="418">
    <w:name w:val="p15"/>
    <w:basedOn w:val="1"/>
    <w:qFormat/>
    <w:uiPriority w:val="0"/>
    <w:pPr>
      <w:widowControl/>
      <w:ind w:firstLine="420"/>
    </w:pPr>
    <w:rPr>
      <w:kern w:val="0"/>
      <w:szCs w:val="21"/>
    </w:rPr>
  </w:style>
  <w:style w:type="paragraph" w:customStyle="1" w:styleId="419">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20">
    <w:name w:val="xiao b"/>
    <w:basedOn w:val="1"/>
    <w:qFormat/>
    <w:uiPriority w:val="0"/>
    <w:pPr>
      <w:jc w:val="center"/>
    </w:pPr>
    <w:rPr>
      <w:rFonts w:eastAsia="黑体"/>
      <w:sz w:val="24"/>
    </w:rPr>
  </w:style>
  <w:style w:type="paragraph" w:customStyle="1" w:styleId="421">
    <w:name w:val="样式 宋体 五号 行距: 单倍行距"/>
    <w:basedOn w:val="1"/>
    <w:qFormat/>
    <w:uiPriority w:val="0"/>
    <w:pPr>
      <w:adjustRightInd w:val="0"/>
      <w:jc w:val="left"/>
      <w:textAlignment w:val="baseline"/>
    </w:pPr>
    <w:rPr>
      <w:rFonts w:ascii="宋体" w:hAnsi="宋体" w:cs="宋体"/>
      <w:kern w:val="0"/>
      <w:szCs w:val="20"/>
    </w:rPr>
  </w:style>
  <w:style w:type="paragraph" w:customStyle="1" w:styleId="422">
    <w:name w:val="Style2"/>
    <w:basedOn w:val="3"/>
    <w:next w:val="1"/>
    <w:qFormat/>
    <w:uiPriority w:val="0"/>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42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42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5">
    <w:name w:val="Char2"/>
    <w:basedOn w:val="1"/>
    <w:qFormat/>
    <w:uiPriority w:val="0"/>
    <w:pPr>
      <w:widowControl/>
      <w:spacing w:after="160" w:line="240" w:lineRule="exact"/>
      <w:jc w:val="left"/>
    </w:pPr>
    <w:rPr>
      <w:szCs w:val="20"/>
    </w:rPr>
  </w:style>
  <w:style w:type="paragraph" w:customStyle="1" w:styleId="426">
    <w:name w:val="CN Level 2 Bullet"/>
    <w:basedOn w:val="79"/>
    <w:qFormat/>
    <w:uiPriority w:val="0"/>
    <w:pPr>
      <w:numPr>
        <w:ilvl w:val="4"/>
        <w:numId w:val="4"/>
      </w:numPr>
      <w:tabs>
        <w:tab w:val="left" w:pos="360"/>
        <w:tab w:val="left" w:pos="1740"/>
        <w:tab w:val="left" w:pos="2971"/>
        <w:tab w:val="clear" w:pos="840"/>
      </w:tabs>
      <w:ind w:left="360"/>
    </w:pPr>
  </w:style>
  <w:style w:type="paragraph" w:customStyle="1" w:styleId="427">
    <w:name w:val="Indented Text"/>
    <w:basedOn w:val="1"/>
    <w:qFormat/>
    <w:uiPriority w:val="0"/>
    <w:pPr>
      <w:widowControl/>
      <w:spacing w:before="28" w:after="28"/>
      <w:ind w:left="576"/>
    </w:pPr>
    <w:rPr>
      <w:rFonts w:ascii="Arial" w:hAnsi="Arial"/>
      <w:kern w:val="0"/>
      <w:sz w:val="20"/>
      <w:lang w:eastAsia="en-US"/>
    </w:rPr>
  </w:style>
  <w:style w:type="paragraph" w:customStyle="1" w:styleId="428">
    <w:name w:val="xl25"/>
    <w:basedOn w:val="1"/>
    <w:qFormat/>
    <w:uiPriority w:val="0"/>
    <w:pPr>
      <w:widowControl/>
      <w:spacing w:before="100" w:after="100"/>
      <w:jc w:val="center"/>
      <w:textAlignment w:val="center"/>
    </w:pPr>
    <w:rPr>
      <w:rFonts w:hint="eastAsia" w:ascii="楷体_GB2312" w:hAnsi="宋体" w:eastAsia="楷体_GB2312"/>
      <w:kern w:val="0"/>
      <w:sz w:val="24"/>
    </w:rPr>
  </w:style>
  <w:style w:type="paragraph" w:customStyle="1" w:styleId="429">
    <w:name w:val="二级条标题"/>
    <w:basedOn w:val="370"/>
    <w:next w:val="1"/>
    <w:qFormat/>
    <w:uiPriority w:val="0"/>
    <w:pPr>
      <w:tabs>
        <w:tab w:val="left" w:pos="2520"/>
        <w:tab w:val="clear" w:pos="540"/>
        <w:tab w:val="clear" w:pos="1260"/>
      </w:tabs>
      <w:outlineLvl w:val="3"/>
    </w:pPr>
  </w:style>
  <w:style w:type="paragraph" w:customStyle="1" w:styleId="430">
    <w:name w:val="font9"/>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431">
    <w:name w:val="Heading B"/>
    <w:basedOn w:val="3"/>
    <w:qFormat/>
    <w:uiPriority w:val="0"/>
    <w:pPr>
      <w:keepLines w:val="0"/>
      <w:widowControl/>
      <w:pBdr>
        <w:top w:val="single" w:color="auto" w:sz="6" w:space="1"/>
      </w:pBdr>
      <w:overflowPunct w:val="0"/>
      <w:spacing w:before="425" w:after="0" w:line="240" w:lineRule="auto"/>
      <w:jc w:val="left"/>
      <w:outlineLvl w:val="9"/>
    </w:pPr>
    <w:rPr>
      <w:rFonts w:ascii="Arial" w:hAnsi="Arial" w:eastAsia="宋体"/>
      <w:b/>
      <w:sz w:val="28"/>
      <w:lang w:eastAsia="en-US"/>
    </w:rPr>
  </w:style>
  <w:style w:type="paragraph" w:customStyle="1" w:styleId="432">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3">
    <w:name w:val="正文(第1层段落)"/>
    <w:basedOn w:val="1"/>
    <w:qFormat/>
    <w:uiPriority w:val="0"/>
    <w:pPr>
      <w:spacing w:afterLines="50"/>
      <w:ind w:firstLine="200" w:firstLineChars="200"/>
    </w:pPr>
  </w:style>
  <w:style w:type="paragraph" w:customStyle="1" w:styleId="4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5">
    <w:name w:val="font7"/>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4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37">
    <w:name w:val="正文首行缩进2字符"/>
    <w:basedOn w:val="1"/>
    <w:qFormat/>
    <w:uiPriority w:val="0"/>
    <w:pPr>
      <w:spacing w:line="360" w:lineRule="auto"/>
      <w:ind w:firstLine="200" w:firstLineChars="200"/>
    </w:pPr>
    <w:rPr>
      <w:rFonts w:ascii="宋体" w:hAnsi="宋体"/>
      <w:color w:val="000000"/>
      <w:kern w:val="21"/>
      <w:szCs w:val="21"/>
    </w:rPr>
  </w:style>
  <w:style w:type="paragraph" w:customStyle="1" w:styleId="438">
    <w:name w:val="项目编号"/>
    <w:basedOn w:val="4"/>
    <w:qFormat/>
    <w:uiPriority w:val="0"/>
    <w:pPr>
      <w:tabs>
        <w:tab w:val="left" w:pos="420"/>
      </w:tabs>
      <w:spacing w:beforeLines="10" w:afterLines="10" w:line="340" w:lineRule="exact"/>
      <w:ind w:left="75" w:leftChars="75" w:hanging="174" w:hangingChars="174"/>
    </w:pPr>
    <w:rPr>
      <w:rFonts w:ascii="Arial" w:hAnsi="Arial" w:eastAsia="楷体_GB2312"/>
      <w:sz w:val="24"/>
      <w:szCs w:val="20"/>
    </w:rPr>
  </w:style>
  <w:style w:type="paragraph" w:customStyle="1" w:styleId="439">
    <w:name w:val="List Paragraph1"/>
    <w:basedOn w:val="1"/>
    <w:qFormat/>
    <w:uiPriority w:val="34"/>
    <w:pPr>
      <w:widowControl/>
      <w:spacing w:after="200" w:line="276" w:lineRule="auto"/>
      <w:ind w:left="720"/>
      <w:contextualSpacing/>
      <w:jc w:val="left"/>
    </w:pPr>
    <w:rPr>
      <w:rFonts w:ascii="Calibri" w:hAnsi="Calibri"/>
      <w:kern w:val="0"/>
      <w:sz w:val="22"/>
      <w:szCs w:val="22"/>
      <w:lang w:eastAsia="en-US"/>
    </w:rPr>
  </w:style>
  <w:style w:type="paragraph" w:customStyle="1" w:styleId="440">
    <w:name w:val="首行缩进:  0.74 厘米 行距: 多倍行距 1.3 字行"/>
    <w:basedOn w:val="1"/>
    <w:qFormat/>
    <w:uiPriority w:val="0"/>
    <w:pPr>
      <w:spacing w:line="312" w:lineRule="auto"/>
      <w:ind w:firstLine="420"/>
    </w:pPr>
    <w:rPr>
      <w:rFonts w:cs="宋体"/>
      <w:szCs w:val="20"/>
    </w:rPr>
  </w:style>
  <w:style w:type="paragraph" w:customStyle="1" w:styleId="441">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eastAsia="Arial Unicode MS"/>
      <w:kern w:val="0"/>
      <w:sz w:val="20"/>
      <w:szCs w:val="20"/>
    </w:rPr>
  </w:style>
  <w:style w:type="paragraph" w:customStyle="1" w:styleId="443">
    <w:name w:val="conten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4">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6">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7">
    <w:name w:val="CN Appendix Delivery"/>
    <w:basedOn w:val="79"/>
    <w:next w:val="79"/>
    <w:qFormat/>
    <w:uiPriority w:val="0"/>
    <w:pPr>
      <w:keepNext/>
      <w:keepLines/>
      <w:numPr>
        <w:ilvl w:val="0"/>
        <w:numId w:val="4"/>
      </w:numPr>
      <w:tabs>
        <w:tab w:val="left" w:pos="360"/>
        <w:tab w:val="left" w:pos="420"/>
        <w:tab w:val="left" w:pos="510"/>
        <w:tab w:val="left" w:pos="780"/>
        <w:tab w:val="left" w:pos="900"/>
        <w:tab w:val="clear" w:pos="840"/>
      </w:tabs>
      <w:ind w:left="0" w:firstLine="0"/>
    </w:pPr>
  </w:style>
  <w:style w:type="paragraph" w:customStyle="1" w:styleId="44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9">
    <w:name w:val="正文首行１"/>
    <w:basedOn w:val="44"/>
    <w:qFormat/>
    <w:uiPriority w:val="0"/>
    <w:pPr>
      <w:spacing w:line="360" w:lineRule="auto"/>
      <w:ind w:left="200" w:firstLine="200"/>
    </w:pPr>
    <w:rPr>
      <w:spacing w:val="20"/>
      <w:szCs w:val="24"/>
    </w:rPr>
  </w:style>
  <w:style w:type="paragraph" w:customStyle="1" w:styleId="450">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1">
    <w:name w:val="Level 3"/>
    <w:basedOn w:val="1"/>
    <w:qFormat/>
    <w:uiPriority w:val="0"/>
    <w:pPr>
      <w:widowControl/>
      <w:spacing w:after="60"/>
      <w:jc w:val="left"/>
    </w:pPr>
    <w:rPr>
      <w:rFonts w:ascii="宋体常规" w:hAnsi="宋体常规"/>
      <w:kern w:val="0"/>
      <w:sz w:val="18"/>
      <w:szCs w:val="18"/>
      <w:lang w:eastAsia="en-US"/>
    </w:rPr>
  </w:style>
  <w:style w:type="paragraph" w:customStyle="1" w:styleId="452">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4">
    <w:name w:val="CN Internal Note Begin"/>
    <w:basedOn w:val="267"/>
    <w:next w:val="267"/>
    <w:qFormat/>
    <w:uiPriority w:val="0"/>
    <w:pPr>
      <w:keepNext/>
      <w:keepLines/>
      <w:pBdr>
        <w:top w:val="single" w:color="FF0000" w:sz="18" w:space="1"/>
      </w:pBdr>
      <w:tabs>
        <w:tab w:val="clear" w:pos="360"/>
      </w:tabs>
      <w:spacing w:before="72" w:after="0"/>
    </w:pPr>
  </w:style>
  <w:style w:type="paragraph" w:customStyle="1" w:styleId="455">
    <w:name w:val="Char1 Char Char Char"/>
    <w:basedOn w:val="1"/>
    <w:qFormat/>
    <w:uiPriority w:val="0"/>
    <w:pPr>
      <w:widowControl/>
      <w:spacing w:after="160" w:line="240" w:lineRule="exact"/>
      <w:jc w:val="left"/>
    </w:pPr>
  </w:style>
  <w:style w:type="paragraph" w:customStyle="1" w:styleId="456">
    <w:name w:val="CN Level 6 Text"/>
    <w:basedOn w:val="79"/>
    <w:qFormat/>
    <w:uiPriority w:val="0"/>
    <w:pPr>
      <w:tabs>
        <w:tab w:val="left" w:pos="360"/>
        <w:tab w:val="clear" w:pos="840"/>
      </w:tabs>
      <w:ind w:left="1080" w:hanging="360"/>
    </w:pPr>
  </w:style>
  <w:style w:type="paragraph" w:customStyle="1" w:styleId="457">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8">
    <w:name w:val="Char1 Char Char Char Char1"/>
    <w:basedOn w:val="1"/>
    <w:qFormat/>
    <w:uiPriority w:val="0"/>
    <w:rPr>
      <w:rFonts w:ascii="Tahoma" w:hAnsi="Tahoma"/>
      <w:sz w:val="24"/>
      <w:szCs w:val="20"/>
    </w:rPr>
  </w:style>
  <w:style w:type="paragraph" w:customStyle="1" w:styleId="459">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0">
    <w:name w:val="Char Char1 Char Char1"/>
    <w:basedOn w:val="22"/>
    <w:qFormat/>
    <w:uiPriority w:val="0"/>
  </w:style>
  <w:style w:type="paragraph" w:customStyle="1" w:styleId="461">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2">
    <w:name w:val="Char Char2 Char1"/>
    <w:basedOn w:val="1"/>
    <w:qFormat/>
    <w:uiPriority w:val="0"/>
    <w:rPr>
      <w:rFonts w:ascii="宋体" w:hAnsi="宋体"/>
      <w:b/>
      <w:sz w:val="28"/>
      <w:szCs w:val="28"/>
    </w:rPr>
  </w:style>
  <w:style w:type="paragraph" w:customStyle="1" w:styleId="463">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4">
    <w:name w:val="样式1"/>
    <w:basedOn w:val="3"/>
    <w:next w:val="3"/>
    <w:qFormat/>
    <w:uiPriority w:val="0"/>
    <w:pPr>
      <w:keepLines w:val="0"/>
      <w:widowControl/>
      <w:tabs>
        <w:tab w:val="left" w:pos="1215"/>
      </w:tabs>
      <w:autoSpaceDE/>
      <w:autoSpaceDN/>
      <w:adjustRightInd/>
      <w:spacing w:before="240" w:after="0" w:line="240" w:lineRule="auto"/>
      <w:ind w:left="1215" w:hanging="420"/>
      <w:jc w:val="left"/>
      <w:textAlignment w:val="auto"/>
    </w:pPr>
    <w:rPr>
      <w:rFonts w:ascii="宋体" w:hAnsi="Arial" w:eastAsia="宋体"/>
      <w:i/>
      <w:sz w:val="28"/>
      <w:lang w:val="en-GB"/>
    </w:rPr>
  </w:style>
  <w:style w:type="paragraph" w:customStyle="1" w:styleId="46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466">
    <w:name w:val="CN Head 1"/>
    <w:basedOn w:val="79"/>
    <w:qFormat/>
    <w:uiPriority w:val="0"/>
    <w:pPr>
      <w:keepNext/>
      <w:keepLines/>
      <w:numPr>
        <w:ilvl w:val="0"/>
        <w:numId w:val="5"/>
      </w:numPr>
      <w:tabs>
        <w:tab w:val="left" w:pos="420"/>
        <w:tab w:val="left" w:pos="510"/>
        <w:tab w:val="left" w:pos="900"/>
        <w:tab w:val="clear" w:pos="840"/>
      </w:tabs>
      <w:spacing w:before="72"/>
      <w:ind w:left="360" w:hanging="360"/>
      <w:outlineLvl w:val="0"/>
    </w:pPr>
    <w:rPr>
      <w:b/>
      <w:sz w:val="24"/>
    </w:rPr>
  </w:style>
  <w:style w:type="paragraph" w:customStyle="1" w:styleId="467">
    <w:name w:val="Char121"/>
    <w:basedOn w:val="22"/>
    <w:qFormat/>
    <w:uiPriority w:val="0"/>
    <w:pPr>
      <w:spacing w:line="360" w:lineRule="auto"/>
      <w:ind w:left="-2" w:leftChars="-1" w:right="-408"/>
    </w:pPr>
    <w:rPr>
      <w:rFonts w:ascii="Tahoma" w:hAnsi="Tahoma"/>
      <w:b/>
      <w:bCs/>
      <w:szCs w:val="21"/>
    </w:rPr>
  </w:style>
  <w:style w:type="paragraph" w:customStyle="1" w:styleId="468">
    <w:name w:val="Char Char9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469">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70">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table" w:customStyle="1" w:styleId="472">
    <w:name w:val="网格型1"/>
    <w:basedOn w:val="74"/>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3">
    <w:name w:val="wfcgroupdialog"/>
    <w:qFormat/>
    <w:uiPriority w:val="0"/>
    <w:rPr>
      <w:sz w:val="16"/>
      <w:szCs w:val="16"/>
    </w:rPr>
  </w:style>
  <w:style w:type="character" w:customStyle="1" w:styleId="474">
    <w:name w:val="btn-danger"/>
    <w:qFormat/>
    <w:uiPriority w:val="0"/>
    <w:rPr>
      <w:color w:val="FFFFFF"/>
      <w:shd w:val="clear" w:color="auto" w:fill="BD362F"/>
    </w:rPr>
  </w:style>
  <w:style w:type="character" w:customStyle="1" w:styleId="475">
    <w:name w:val="btn-inverse"/>
    <w:qFormat/>
    <w:uiPriority w:val="0"/>
    <w:rPr>
      <w:color w:val="FFFFFF"/>
      <w:shd w:val="clear" w:color="auto" w:fill="222222"/>
    </w:rPr>
  </w:style>
  <w:style w:type="character" w:customStyle="1" w:styleId="476">
    <w:name w:val="btn-info"/>
    <w:qFormat/>
    <w:uiPriority w:val="0"/>
    <w:rPr>
      <w:color w:val="FFFFFF"/>
      <w:shd w:val="clear" w:color="auto" w:fill="2F96B4"/>
    </w:rPr>
  </w:style>
  <w:style w:type="character" w:customStyle="1" w:styleId="477">
    <w:name w:val="btn-success"/>
    <w:qFormat/>
    <w:uiPriority w:val="0"/>
    <w:rPr>
      <w:color w:val="FFFFFF"/>
      <w:shd w:val="clear" w:color="auto" w:fill="51A351"/>
    </w:rPr>
  </w:style>
  <w:style w:type="character" w:customStyle="1" w:styleId="478">
    <w:name w:val="rowheader"/>
    <w:qFormat/>
    <w:uiPriority w:val="0"/>
    <w:rPr>
      <w:b/>
    </w:rPr>
  </w:style>
  <w:style w:type="character" w:customStyle="1" w:styleId="479">
    <w:name w:val="btn"/>
    <w:qFormat/>
    <w:uiPriority w:val="0"/>
    <w:rPr>
      <w:color w:val="FFFFFF"/>
      <w:sz w:val="16"/>
      <w:szCs w:val="16"/>
      <w:bdr w:val="single" w:color="BBD4E8" w:sz="2" w:space="0"/>
      <w:shd w:val="clear" w:color="auto" w:fill="BF0017"/>
    </w:rPr>
  </w:style>
  <w:style w:type="character" w:customStyle="1" w:styleId="480">
    <w:name w:val="btn30"/>
    <w:qFormat/>
    <w:uiPriority w:val="0"/>
    <w:rPr>
      <w:color w:val="FFFFFF"/>
      <w:sz w:val="16"/>
      <w:szCs w:val="16"/>
      <w:bdr w:val="single" w:color="BBD4E8" w:sz="2" w:space="0"/>
      <w:shd w:val="clear" w:color="auto" w:fill="BF0017"/>
    </w:rPr>
  </w:style>
  <w:style w:type="character" w:customStyle="1" w:styleId="481">
    <w:name w:val="wfcbankleaderselect"/>
    <w:qFormat/>
    <w:uiPriority w:val="0"/>
    <w:rPr>
      <w:sz w:val="16"/>
      <w:szCs w:val="16"/>
    </w:rPr>
  </w:style>
  <w:style w:type="character" w:customStyle="1" w:styleId="482">
    <w:name w:val="wfcdocbasedialog"/>
    <w:qFormat/>
    <w:uiPriority w:val="0"/>
    <w:rPr>
      <w:sz w:val="16"/>
      <w:szCs w:val="16"/>
    </w:rPr>
  </w:style>
  <w:style w:type="character" w:customStyle="1" w:styleId="483">
    <w:name w:val="btn-warning"/>
    <w:qFormat/>
    <w:uiPriority w:val="0"/>
    <w:rPr>
      <w:color w:val="FFFFFF"/>
      <w:shd w:val="clear" w:color="auto" w:fill="F89406"/>
    </w:rPr>
  </w:style>
  <w:style w:type="paragraph" w:customStyle="1" w:styleId="484">
    <w:name w:val="_Style 5"/>
    <w:basedOn w:val="1"/>
    <w:qFormat/>
    <w:uiPriority w:val="0"/>
    <w:pPr>
      <w:widowControl/>
      <w:ind w:left="720"/>
    </w:pPr>
    <w:rPr>
      <w:rFonts w:ascii="Calibri" w:hAnsi="Calibri" w:cs="Calibri"/>
      <w:kern w:val="0"/>
      <w:szCs w:val="21"/>
    </w:rPr>
  </w:style>
  <w:style w:type="character" w:customStyle="1" w:styleId="485">
    <w:name w:val="Char Char341"/>
    <w:qFormat/>
    <w:uiPriority w:val="0"/>
    <w:rPr>
      <w:rFonts w:eastAsia="楷体_GB2312"/>
      <w:kern w:val="2"/>
      <w:sz w:val="21"/>
      <w:szCs w:val="24"/>
      <w:lang w:val="en-US" w:eastAsia="zh-CN" w:bidi="ar-SA"/>
    </w:rPr>
  </w:style>
  <w:style w:type="character" w:customStyle="1" w:styleId="486">
    <w:name w:val="批注文字 Char1"/>
    <w:qFormat/>
    <w:uiPriority w:val="99"/>
    <w:rPr>
      <w:rFonts w:ascii="Verdana" w:hAnsi="Verdana" w:eastAsia="幼圆"/>
      <w:kern w:val="0"/>
      <w:sz w:val="24"/>
      <w:lang w:eastAsia="en-US"/>
    </w:rPr>
  </w:style>
  <w:style w:type="character" w:customStyle="1" w:styleId="487">
    <w:name w:val="正文文本缩进 2 Char2"/>
    <w:qFormat/>
    <w:uiPriority w:val="0"/>
    <w:rPr>
      <w:kern w:val="2"/>
      <w:sz w:val="21"/>
    </w:rPr>
  </w:style>
  <w:style w:type="character" w:customStyle="1" w:styleId="488">
    <w:name w:val="尾注文本 Char3"/>
    <w:qFormat/>
    <w:uiPriority w:val="0"/>
    <w:rPr>
      <w:kern w:val="2"/>
      <w:sz w:val="21"/>
    </w:rPr>
  </w:style>
  <w:style w:type="character" w:customStyle="1" w:styleId="489">
    <w:name w:val="Char Char141"/>
    <w:qFormat/>
    <w:uiPriority w:val="0"/>
    <w:rPr>
      <w:rFonts w:ascii="宋体" w:hAnsi="Courier New" w:eastAsia="宋体"/>
      <w:kern w:val="2"/>
      <w:sz w:val="21"/>
      <w:lang w:val="en-US" w:eastAsia="zh-CN" w:bidi="ar-SA"/>
    </w:rPr>
  </w:style>
  <w:style w:type="character" w:customStyle="1" w:styleId="490">
    <w:name w:val="批注主题 Char1"/>
    <w:semiHidden/>
    <w:qFormat/>
    <w:uiPriority w:val="99"/>
    <w:rPr>
      <w:b/>
      <w:bCs/>
    </w:rPr>
  </w:style>
  <w:style w:type="character" w:customStyle="1" w:styleId="491">
    <w:name w:val="正文文本缩进 3 Char11"/>
    <w:semiHidden/>
    <w:qFormat/>
    <w:uiPriority w:val="99"/>
    <w:rPr>
      <w:rFonts w:cs="Times New Roman"/>
      <w:kern w:val="2"/>
      <w:sz w:val="16"/>
      <w:szCs w:val="16"/>
    </w:rPr>
  </w:style>
  <w:style w:type="character" w:customStyle="1" w:styleId="492">
    <w:name w:val="Endnote Text Char"/>
    <w:qFormat/>
    <w:locked/>
    <w:uiPriority w:val="0"/>
    <w:rPr>
      <w:rFonts w:cs="Times New Roman"/>
      <w:kern w:val="2"/>
      <w:sz w:val="21"/>
    </w:rPr>
  </w:style>
  <w:style w:type="character" w:customStyle="1" w:styleId="493">
    <w:name w:val="Char Char211"/>
    <w:qFormat/>
    <w:uiPriority w:val="0"/>
    <w:rPr>
      <w:rFonts w:ascii="Arial" w:hAnsi="Arial" w:eastAsia="宋体"/>
      <w:color w:val="000000"/>
      <w:kern w:val="2"/>
      <w:sz w:val="24"/>
      <w:szCs w:val="24"/>
      <w:lang w:val="en-US" w:eastAsia="zh-CN" w:bidi="ar-SA"/>
    </w:rPr>
  </w:style>
  <w:style w:type="character" w:customStyle="1" w:styleId="494">
    <w:name w:val="尾注文本 Char Char"/>
    <w:qFormat/>
    <w:uiPriority w:val="0"/>
    <w:rPr>
      <w:rFonts w:ascii="宋体" w:hAnsi="宋体" w:eastAsia="宋体"/>
      <w:kern w:val="2"/>
      <w:sz w:val="21"/>
      <w:szCs w:val="24"/>
      <w:lang w:val="en-US" w:eastAsia="zh-CN" w:bidi="ar-SA"/>
    </w:rPr>
  </w:style>
  <w:style w:type="character" w:customStyle="1" w:styleId="495">
    <w:name w:val="Char Char241"/>
    <w:qFormat/>
    <w:uiPriority w:val="0"/>
    <w:rPr>
      <w:rFonts w:ascii="Arial" w:hAnsi="Arial" w:eastAsia="宋体"/>
      <w:b/>
      <w:bCs/>
      <w:color w:val="000000"/>
      <w:kern w:val="44"/>
      <w:sz w:val="30"/>
      <w:szCs w:val="30"/>
      <w:lang w:val="en-US" w:eastAsia="zh-CN" w:bidi="ar-SA"/>
    </w:rPr>
  </w:style>
  <w:style w:type="character" w:customStyle="1" w:styleId="496">
    <w:name w:val="文档结构图 Char2"/>
    <w:qFormat/>
    <w:uiPriority w:val="0"/>
    <w:rPr>
      <w:rFonts w:ascii="宋体"/>
      <w:kern w:val="2"/>
      <w:sz w:val="18"/>
      <w:szCs w:val="18"/>
    </w:rPr>
  </w:style>
  <w:style w:type="character" w:customStyle="1" w:styleId="497">
    <w:name w:val="正文文本缩进 Char11"/>
    <w:semiHidden/>
    <w:qFormat/>
    <w:uiPriority w:val="99"/>
    <w:rPr>
      <w:rFonts w:cs="Times New Roman"/>
      <w:kern w:val="2"/>
      <w:sz w:val="21"/>
    </w:rPr>
  </w:style>
  <w:style w:type="character" w:customStyle="1" w:styleId="498">
    <w:name w:val="Char Char361"/>
    <w:qFormat/>
    <w:uiPriority w:val="0"/>
    <w:rPr>
      <w:rFonts w:ascii="Arial" w:hAnsi="Arial" w:eastAsia="黑体"/>
      <w:b/>
      <w:bCs/>
      <w:kern w:val="2"/>
      <w:sz w:val="24"/>
      <w:szCs w:val="24"/>
      <w:lang w:val="en-US" w:eastAsia="zh-CN" w:bidi="ar-SA"/>
    </w:rPr>
  </w:style>
  <w:style w:type="character" w:customStyle="1" w:styleId="499">
    <w:name w:val="Char Char71"/>
    <w:qFormat/>
    <w:uiPriority w:val="0"/>
    <w:rPr>
      <w:rFonts w:ascii="宋体" w:hAnsi="Courier New" w:eastAsia="宋体"/>
      <w:kern w:val="2"/>
      <w:sz w:val="21"/>
      <w:lang w:val="en-US" w:eastAsia="zh-CN" w:bidi="ar-SA"/>
    </w:rPr>
  </w:style>
  <w:style w:type="character" w:customStyle="1" w:styleId="500">
    <w:name w:val="Char Char18"/>
    <w:qFormat/>
    <w:uiPriority w:val="0"/>
    <w:rPr>
      <w:rFonts w:eastAsia="宋体"/>
      <w:b/>
      <w:kern w:val="2"/>
      <w:sz w:val="24"/>
      <w:lang w:val="en-US" w:eastAsia="zh-CN" w:bidi="ar-SA"/>
    </w:rPr>
  </w:style>
  <w:style w:type="character" w:customStyle="1" w:styleId="501">
    <w:name w:val="Char Char221"/>
    <w:qFormat/>
    <w:uiPriority w:val="0"/>
    <w:rPr>
      <w:rFonts w:eastAsia="宋体"/>
      <w:b/>
      <w:color w:val="000000"/>
      <w:kern w:val="2"/>
      <w:sz w:val="24"/>
      <w:szCs w:val="24"/>
      <w:lang w:val="en-US" w:eastAsia="zh-CN" w:bidi="ar-SA"/>
    </w:rPr>
  </w:style>
  <w:style w:type="character" w:customStyle="1" w:styleId="502">
    <w:name w:val="Char Char1711"/>
    <w:qFormat/>
    <w:uiPriority w:val="0"/>
    <w:rPr>
      <w:rFonts w:ascii="Arial" w:hAnsi="Arial" w:eastAsia="黑体"/>
      <w:kern w:val="2"/>
      <w:sz w:val="24"/>
      <w:lang w:val="en-US" w:eastAsia="zh-CN" w:bidi="ar-SA"/>
    </w:rPr>
  </w:style>
  <w:style w:type="character" w:customStyle="1" w:styleId="503">
    <w:name w:val="Char Char231"/>
    <w:qFormat/>
    <w:uiPriority w:val="0"/>
    <w:rPr>
      <w:rFonts w:ascii="Arial" w:hAnsi="Arial" w:eastAsia="宋体"/>
      <w:b/>
      <w:color w:val="000000"/>
      <w:kern w:val="2"/>
      <w:sz w:val="24"/>
      <w:szCs w:val="24"/>
      <w:lang w:val="en-US" w:eastAsia="zh-CN" w:bidi="ar-SA"/>
    </w:rPr>
  </w:style>
  <w:style w:type="character" w:customStyle="1" w:styleId="504">
    <w:name w:val="尾注文本 Char2"/>
    <w:qFormat/>
    <w:uiPriority w:val="0"/>
    <w:rPr>
      <w:rFonts w:cs="Times New Roman"/>
      <w:kern w:val="2"/>
      <w:sz w:val="21"/>
    </w:rPr>
  </w:style>
  <w:style w:type="character" w:customStyle="1" w:styleId="505">
    <w:name w:val="Char Char Char2"/>
    <w:qFormat/>
    <w:uiPriority w:val="0"/>
    <w:rPr>
      <w:rFonts w:ascii="宋体" w:hAnsi="宋体" w:eastAsia="宋体"/>
      <w:kern w:val="2"/>
      <w:sz w:val="21"/>
      <w:szCs w:val="24"/>
      <w:lang w:val="en-US" w:eastAsia="zh-CN" w:bidi="ar-SA"/>
    </w:rPr>
  </w:style>
  <w:style w:type="character" w:customStyle="1" w:styleId="506">
    <w:name w:val="Char Char161"/>
    <w:qFormat/>
    <w:uiPriority w:val="0"/>
    <w:rPr>
      <w:rFonts w:ascii="Arial" w:hAnsi="Arial" w:eastAsia="宋体" w:cs="Arial"/>
      <w:b/>
      <w:bCs/>
      <w:kern w:val="2"/>
      <w:sz w:val="32"/>
      <w:szCs w:val="32"/>
      <w:lang w:val="en-US" w:eastAsia="zh-CN" w:bidi="ar-SA"/>
    </w:rPr>
  </w:style>
  <w:style w:type="character" w:customStyle="1" w:styleId="507">
    <w:name w:val="huh Char"/>
    <w:qFormat/>
    <w:uiPriority w:val="0"/>
    <w:rPr>
      <w:rFonts w:ascii="Arial" w:hAnsi="Arial" w:eastAsia="黑体"/>
      <w:kern w:val="2"/>
      <w:sz w:val="21"/>
      <w:lang w:val="en-US" w:eastAsia="zh-CN" w:bidi="ar-SA"/>
    </w:rPr>
  </w:style>
  <w:style w:type="character" w:customStyle="1" w:styleId="508">
    <w:name w:val="正文首行缩进 Char1"/>
    <w:qFormat/>
    <w:uiPriority w:val="0"/>
    <w:rPr>
      <w:kern w:val="2"/>
      <w:sz w:val="21"/>
    </w:rPr>
  </w:style>
  <w:style w:type="character" w:customStyle="1" w:styleId="509">
    <w:name w:val="纯文本 Char2"/>
    <w:qFormat/>
    <w:uiPriority w:val="0"/>
    <w:rPr>
      <w:rFonts w:ascii="宋体" w:hAnsi="Courier New" w:cs="Courier New"/>
      <w:kern w:val="2"/>
      <w:sz w:val="21"/>
      <w:szCs w:val="21"/>
    </w:rPr>
  </w:style>
  <w:style w:type="character" w:customStyle="1" w:styleId="510">
    <w:name w:val="Char Char271"/>
    <w:qFormat/>
    <w:uiPriority w:val="0"/>
    <w:rPr>
      <w:rFonts w:eastAsia="宋体"/>
      <w:kern w:val="2"/>
      <w:sz w:val="21"/>
      <w:lang w:val="en-US" w:eastAsia="zh-CN" w:bidi="ar-SA"/>
    </w:rPr>
  </w:style>
  <w:style w:type="character" w:customStyle="1" w:styleId="511">
    <w:name w:val="font71"/>
    <w:qFormat/>
    <w:uiPriority w:val="0"/>
    <w:rPr>
      <w:rFonts w:hint="default" w:ascii="Times New Roman" w:hAnsi="Times New Roman" w:cs="Times New Roman"/>
      <w:color w:val="000000"/>
      <w:sz w:val="14"/>
      <w:szCs w:val="14"/>
      <w:u w:val="none"/>
    </w:rPr>
  </w:style>
  <w:style w:type="character" w:customStyle="1" w:styleId="512">
    <w:name w:val="Char Char14"/>
    <w:qFormat/>
    <w:uiPriority w:val="0"/>
    <w:rPr>
      <w:rFonts w:ascii="宋体" w:hAnsi="Courier New" w:eastAsia="宋体"/>
      <w:kern w:val="2"/>
      <w:sz w:val="21"/>
      <w:lang w:val="en-US" w:eastAsia="zh-CN" w:bidi="ar-SA"/>
    </w:rPr>
  </w:style>
  <w:style w:type="character" w:customStyle="1" w:styleId="513">
    <w:name w:val="Char Char Char Char Char Char Char1 Char"/>
    <w:link w:val="302"/>
    <w:qFormat/>
    <w:uiPriority w:val="0"/>
    <w:rPr>
      <w:rFonts w:ascii="Tahoma" w:hAnsi="Tahoma" w:cs="Tahoma"/>
      <w:kern w:val="2"/>
      <w:sz w:val="24"/>
      <w:szCs w:val="24"/>
    </w:rPr>
  </w:style>
  <w:style w:type="character" w:customStyle="1" w:styleId="514">
    <w:name w:val="Char Char301"/>
    <w:qFormat/>
    <w:uiPriority w:val="0"/>
    <w:rPr>
      <w:rFonts w:ascii="宋体" w:hAnsi="宋体" w:eastAsia="宋体"/>
      <w:kern w:val="2"/>
      <w:sz w:val="21"/>
      <w:szCs w:val="24"/>
      <w:u w:val="single"/>
      <w:lang w:val="en-US" w:eastAsia="zh-CN" w:bidi="ar-SA"/>
    </w:rPr>
  </w:style>
  <w:style w:type="character" w:customStyle="1" w:styleId="515">
    <w:name w:val="Char Char181"/>
    <w:qFormat/>
    <w:uiPriority w:val="0"/>
    <w:rPr>
      <w:rFonts w:eastAsia="宋体"/>
      <w:b/>
      <w:kern w:val="2"/>
      <w:sz w:val="24"/>
      <w:lang w:val="en-US" w:eastAsia="zh-CN" w:bidi="ar-SA"/>
    </w:rPr>
  </w:style>
  <w:style w:type="character" w:customStyle="1" w:styleId="516">
    <w:name w:val="Char Char12"/>
    <w:qFormat/>
    <w:uiPriority w:val="0"/>
    <w:rPr>
      <w:rFonts w:eastAsia="宋体"/>
      <w:kern w:val="2"/>
      <w:sz w:val="18"/>
      <w:lang w:val="en-US" w:eastAsia="zh-CN" w:bidi="ar-SA"/>
    </w:rPr>
  </w:style>
  <w:style w:type="character" w:customStyle="1" w:styleId="517">
    <w:name w:val="批注框文本 Char11"/>
    <w:semiHidden/>
    <w:qFormat/>
    <w:uiPriority w:val="99"/>
    <w:rPr>
      <w:rFonts w:cs="Times New Roman"/>
      <w:kern w:val="2"/>
      <w:sz w:val="18"/>
      <w:szCs w:val="18"/>
    </w:rPr>
  </w:style>
  <w:style w:type="character" w:customStyle="1" w:styleId="518">
    <w:name w:val="Char Char72"/>
    <w:qFormat/>
    <w:uiPriority w:val="0"/>
    <w:rPr>
      <w:rFonts w:ascii="宋体" w:hAnsi="Courier New" w:eastAsia="宋体"/>
      <w:kern w:val="2"/>
      <w:sz w:val="21"/>
      <w:lang w:val="en-US" w:eastAsia="zh-CN" w:bidi="ar-SA"/>
    </w:rPr>
  </w:style>
  <w:style w:type="character" w:customStyle="1" w:styleId="519">
    <w:name w:val="Char Char281"/>
    <w:qFormat/>
    <w:uiPriority w:val="0"/>
    <w:rPr>
      <w:rFonts w:eastAsia="宋体"/>
      <w:kern w:val="2"/>
      <w:sz w:val="18"/>
      <w:lang w:val="en-US" w:eastAsia="zh-CN" w:bidi="ar-SA"/>
    </w:rPr>
  </w:style>
  <w:style w:type="character" w:customStyle="1" w:styleId="520">
    <w:name w:val="Char Char351"/>
    <w:qFormat/>
    <w:uiPriority w:val="0"/>
    <w:rPr>
      <w:rFonts w:ascii="Arial" w:hAnsi="Arial" w:eastAsia="楷体_GB2312"/>
      <w:b/>
      <w:kern w:val="2"/>
      <w:sz w:val="44"/>
      <w:szCs w:val="24"/>
      <w:lang w:val="en-US" w:eastAsia="zh-CN" w:bidi="ar-SA"/>
    </w:rPr>
  </w:style>
  <w:style w:type="character" w:customStyle="1" w:styleId="521">
    <w:name w:val="页眉 Char11"/>
    <w:semiHidden/>
    <w:qFormat/>
    <w:uiPriority w:val="99"/>
    <w:rPr>
      <w:rFonts w:cs="Times New Roman"/>
      <w:kern w:val="2"/>
      <w:sz w:val="18"/>
      <w:szCs w:val="18"/>
    </w:rPr>
  </w:style>
  <w:style w:type="character" w:customStyle="1" w:styleId="522">
    <w:name w:val="Body Text First Indent Char"/>
    <w:qFormat/>
    <w:locked/>
    <w:uiPriority w:val="0"/>
    <w:rPr>
      <w:rFonts w:cs="Times New Roman"/>
      <w:kern w:val="2"/>
      <w:sz w:val="21"/>
    </w:rPr>
  </w:style>
  <w:style w:type="character" w:customStyle="1" w:styleId="523">
    <w:name w:val="标题 8题注(表格) Char"/>
    <w:qFormat/>
    <w:uiPriority w:val="0"/>
    <w:rPr>
      <w:rFonts w:ascii="Arial" w:hAnsi="Arial" w:eastAsia="黑体"/>
      <w:kern w:val="2"/>
      <w:sz w:val="24"/>
      <w:lang w:val="en-US" w:eastAsia="zh-CN" w:bidi="ar-SA"/>
    </w:rPr>
  </w:style>
  <w:style w:type="character" w:customStyle="1" w:styleId="524">
    <w:name w:val="Char Char39"/>
    <w:qFormat/>
    <w:uiPriority w:val="0"/>
    <w:rPr>
      <w:rFonts w:ascii="仿宋_GB2312" w:hAnsi="宋体" w:eastAsia="仿宋_GB2312" w:cs="宋体"/>
      <w:b/>
      <w:bCs/>
      <w:kern w:val="2"/>
      <w:sz w:val="30"/>
      <w:szCs w:val="30"/>
      <w:lang w:val="en-US" w:eastAsia="zh-CN" w:bidi="ar-SA"/>
    </w:rPr>
  </w:style>
  <w:style w:type="character" w:customStyle="1" w:styleId="525">
    <w:name w:val="Char Char38"/>
    <w:qFormat/>
    <w:uiPriority w:val="0"/>
    <w:rPr>
      <w:rFonts w:ascii="仿宋_GB2312" w:hAnsi="宋体" w:eastAsia="仿宋_GB2312" w:cs="宋体"/>
      <w:b/>
      <w:kern w:val="2"/>
      <w:sz w:val="30"/>
      <w:szCs w:val="30"/>
      <w:lang w:val="en-US" w:eastAsia="zh-CN" w:bidi="ar-SA"/>
    </w:rPr>
  </w:style>
  <w:style w:type="character" w:customStyle="1" w:styleId="526">
    <w:name w:val="尾注文本 字符"/>
    <w:link w:val="41"/>
    <w:qFormat/>
    <w:locked/>
    <w:uiPriority w:val="99"/>
    <w:rPr>
      <w:kern w:val="2"/>
      <w:sz w:val="21"/>
    </w:rPr>
  </w:style>
  <w:style w:type="character" w:customStyle="1" w:styleId="527">
    <w:name w:val="标书正文格式 Char"/>
    <w:link w:val="528"/>
    <w:qFormat/>
    <w:uiPriority w:val="0"/>
    <w:rPr>
      <w:rFonts w:eastAsia="楷体_GB2312"/>
      <w:kern w:val="2"/>
      <w:sz w:val="24"/>
    </w:rPr>
  </w:style>
  <w:style w:type="paragraph" w:customStyle="1" w:styleId="528">
    <w:name w:val="标书正文格式"/>
    <w:link w:val="527"/>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529">
    <w:name w:val="合同标题 Char1"/>
    <w:qFormat/>
    <w:uiPriority w:val="0"/>
    <w:rPr>
      <w:rFonts w:ascii="宋体" w:hAnsi="宋体" w:eastAsia="宋体"/>
      <w:b/>
      <w:kern w:val="44"/>
      <w:sz w:val="36"/>
      <w:szCs w:val="36"/>
      <w:lang w:val="en-US" w:eastAsia="zh-CN" w:bidi="ar-SA"/>
    </w:rPr>
  </w:style>
  <w:style w:type="character" w:customStyle="1" w:styleId="530">
    <w:name w:val="标题 Char2"/>
    <w:qFormat/>
    <w:uiPriority w:val="0"/>
    <w:rPr>
      <w:rFonts w:ascii="Cambria" w:hAnsi="Cambria" w:cs="Times New Roman"/>
      <w:b/>
      <w:bCs/>
      <w:kern w:val="2"/>
      <w:sz w:val="32"/>
      <w:szCs w:val="32"/>
    </w:rPr>
  </w:style>
  <w:style w:type="character" w:customStyle="1" w:styleId="531">
    <w:name w:val="Ò³Ã¼ Char Char"/>
    <w:qFormat/>
    <w:uiPriority w:val="0"/>
    <w:rPr>
      <w:rFonts w:eastAsia="楷体_GB2312"/>
      <w:kern w:val="2"/>
      <w:sz w:val="18"/>
      <w:szCs w:val="18"/>
      <w:lang w:val="en-US" w:eastAsia="zh-CN" w:bidi="ar-SA"/>
    </w:rPr>
  </w:style>
  <w:style w:type="character" w:customStyle="1" w:styleId="532">
    <w:name w:val="尾注文本 Char"/>
    <w:qFormat/>
    <w:locked/>
    <w:uiPriority w:val="0"/>
    <w:rPr>
      <w:rFonts w:eastAsia="宋体"/>
      <w:kern w:val="2"/>
      <w:sz w:val="21"/>
      <w:lang w:val="en-US" w:eastAsia="zh-CN" w:bidi="ar-SA"/>
    </w:rPr>
  </w:style>
  <w:style w:type="character" w:customStyle="1" w:styleId="533">
    <w:name w:val="Char Char Char Char Char Char Char1 Char1"/>
    <w:link w:val="534"/>
    <w:qFormat/>
    <w:uiPriority w:val="0"/>
    <w:rPr>
      <w:rFonts w:ascii="黑体" w:hAnsi="Verdana" w:eastAsia="黑体"/>
      <w:sz w:val="32"/>
      <w:szCs w:val="32"/>
      <w:lang w:eastAsia="en-US"/>
    </w:rPr>
  </w:style>
  <w:style w:type="paragraph" w:customStyle="1" w:styleId="534">
    <w:name w:val="Char Char Char Char Char Char Char11"/>
    <w:basedOn w:val="1"/>
    <w:link w:val="533"/>
    <w:qFormat/>
    <w:uiPriority w:val="0"/>
    <w:pPr>
      <w:widowControl/>
      <w:spacing w:after="160" w:line="240" w:lineRule="exact"/>
      <w:jc w:val="center"/>
    </w:pPr>
    <w:rPr>
      <w:rFonts w:ascii="黑体" w:hAnsi="Verdana" w:eastAsia="黑体"/>
      <w:kern w:val="0"/>
      <w:sz w:val="32"/>
      <w:szCs w:val="32"/>
      <w:lang w:eastAsia="en-US"/>
    </w:rPr>
  </w:style>
  <w:style w:type="character" w:customStyle="1" w:styleId="535">
    <w:name w:val="Char Char251"/>
    <w:qFormat/>
    <w:uiPriority w:val="0"/>
    <w:rPr>
      <w:rFonts w:ascii="Arial" w:hAnsi="Arial" w:eastAsia="宋体"/>
      <w:b/>
      <w:bCs/>
      <w:color w:val="000000"/>
      <w:kern w:val="44"/>
      <w:sz w:val="30"/>
      <w:szCs w:val="30"/>
      <w:lang w:val="en-US" w:eastAsia="zh-CN" w:bidi="ar-SA"/>
    </w:rPr>
  </w:style>
  <w:style w:type="character" w:customStyle="1" w:styleId="536">
    <w:name w:val="text_neiye_21"/>
    <w:qFormat/>
    <w:uiPriority w:val="0"/>
    <w:rPr>
      <w:rFonts w:hint="eastAsia" w:ascii="方正小标宋简体" w:eastAsia="方正小标宋简体"/>
      <w:color w:val="000000"/>
      <w:kern w:val="2"/>
      <w:sz w:val="38"/>
      <w:szCs w:val="38"/>
      <w:lang w:val="en-US" w:eastAsia="zh-CN" w:bidi="ar-SA"/>
    </w:rPr>
  </w:style>
  <w:style w:type="character" w:customStyle="1" w:styleId="537">
    <w:name w:val="占位符文本1"/>
    <w:semiHidden/>
    <w:qFormat/>
    <w:uiPriority w:val="99"/>
    <w:rPr>
      <w:color w:val="808080"/>
    </w:rPr>
  </w:style>
  <w:style w:type="character" w:customStyle="1" w:styleId="538">
    <w:name w:val="Char Char23"/>
    <w:qFormat/>
    <w:uiPriority w:val="0"/>
    <w:rPr>
      <w:rFonts w:ascii="Arial" w:hAnsi="Arial" w:eastAsia="宋体"/>
      <w:b/>
      <w:color w:val="000000"/>
      <w:kern w:val="2"/>
      <w:sz w:val="24"/>
      <w:szCs w:val="24"/>
      <w:lang w:val="en-US" w:eastAsia="zh-CN" w:bidi="ar-SA"/>
    </w:rPr>
  </w:style>
  <w:style w:type="character" w:customStyle="1" w:styleId="539">
    <w:name w:val="样式 样式 标准正文 + 宋体 + 黑色 Char"/>
    <w:link w:val="540"/>
    <w:qFormat/>
    <w:uiPriority w:val="0"/>
    <w:rPr>
      <w:rFonts w:ascii="宋体" w:hAnsi="宋体"/>
      <w:color w:val="000000"/>
      <w:kern w:val="2"/>
      <w:sz w:val="24"/>
    </w:rPr>
  </w:style>
  <w:style w:type="paragraph" w:customStyle="1" w:styleId="540">
    <w:name w:val="样式 样式 标准正文 + 宋体 + 黑色"/>
    <w:basedOn w:val="1"/>
    <w:link w:val="539"/>
    <w:qFormat/>
    <w:uiPriority w:val="0"/>
    <w:pPr>
      <w:spacing w:before="60" w:after="60" w:line="360" w:lineRule="auto"/>
      <w:ind w:firstLine="482"/>
    </w:pPr>
    <w:rPr>
      <w:rFonts w:ascii="宋体" w:hAnsi="宋体"/>
      <w:color w:val="000000"/>
      <w:sz w:val="24"/>
      <w:szCs w:val="20"/>
    </w:rPr>
  </w:style>
  <w:style w:type="character" w:customStyle="1" w:styleId="541">
    <w:name w:val="普通 (Web) Char"/>
    <w:link w:val="542"/>
    <w:qFormat/>
    <w:uiPriority w:val="0"/>
    <w:rPr>
      <w:rFonts w:ascii="宋体" w:hAnsi="宋体"/>
      <w:sz w:val="24"/>
      <w:szCs w:val="24"/>
    </w:rPr>
  </w:style>
  <w:style w:type="paragraph" w:customStyle="1" w:styleId="542">
    <w:name w:val="普通 (Web)"/>
    <w:basedOn w:val="1"/>
    <w:link w:val="541"/>
    <w:qFormat/>
    <w:uiPriority w:val="0"/>
    <w:pPr>
      <w:widowControl/>
      <w:spacing w:before="100" w:beforeAutospacing="1" w:after="100" w:afterAutospacing="1"/>
      <w:jc w:val="left"/>
    </w:pPr>
    <w:rPr>
      <w:rFonts w:ascii="宋体" w:hAnsi="宋体"/>
      <w:kern w:val="0"/>
      <w:sz w:val="24"/>
    </w:rPr>
  </w:style>
  <w:style w:type="character" w:customStyle="1" w:styleId="543">
    <w:name w:val="Char Char371"/>
    <w:qFormat/>
    <w:uiPriority w:val="0"/>
    <w:rPr>
      <w:rFonts w:eastAsia="宋体"/>
      <w:b/>
      <w:color w:val="000000"/>
      <w:kern w:val="2"/>
      <w:sz w:val="24"/>
      <w:szCs w:val="24"/>
      <w:lang w:val="en-US" w:eastAsia="zh-CN" w:bidi="ar-SA"/>
    </w:rPr>
  </w:style>
  <w:style w:type="character" w:customStyle="1" w:styleId="544">
    <w:name w:val="Char Char37"/>
    <w:qFormat/>
    <w:uiPriority w:val="0"/>
    <w:rPr>
      <w:rFonts w:eastAsia="宋体"/>
      <w:b/>
      <w:color w:val="000000"/>
      <w:kern w:val="2"/>
      <w:sz w:val="24"/>
      <w:szCs w:val="24"/>
      <w:lang w:val="en-US" w:eastAsia="zh-CN" w:bidi="ar-SA"/>
    </w:rPr>
  </w:style>
  <w:style w:type="character" w:customStyle="1" w:styleId="545">
    <w:name w:val="页眉 Char1"/>
    <w:qFormat/>
    <w:uiPriority w:val="99"/>
    <w:rPr>
      <w:kern w:val="2"/>
      <w:sz w:val="18"/>
      <w:szCs w:val="18"/>
    </w:rPr>
  </w:style>
  <w:style w:type="character" w:customStyle="1" w:styleId="546">
    <w:name w:val="fontorange"/>
    <w:qFormat/>
    <w:uiPriority w:val="0"/>
    <w:rPr>
      <w:rFonts w:ascii="Verdana" w:hAnsi="Verdana" w:eastAsia="幼圆"/>
      <w:kern w:val="0"/>
      <w:sz w:val="24"/>
      <w:lang w:eastAsia="en-US"/>
    </w:rPr>
  </w:style>
  <w:style w:type="character" w:customStyle="1" w:styleId="547">
    <w:name w:val="Char Char3111"/>
    <w:qFormat/>
    <w:uiPriority w:val="0"/>
    <w:rPr>
      <w:rFonts w:eastAsia="宋体"/>
      <w:kern w:val="2"/>
      <w:sz w:val="21"/>
      <w:lang w:val="en-US" w:eastAsia="zh-CN" w:bidi="ar-SA"/>
    </w:rPr>
  </w:style>
  <w:style w:type="character" w:customStyle="1" w:styleId="548">
    <w:name w:val="纯文本 Char11"/>
    <w:semiHidden/>
    <w:qFormat/>
    <w:uiPriority w:val="99"/>
    <w:rPr>
      <w:rFonts w:ascii="宋体" w:hAnsi="Courier New" w:cs="Courier New"/>
      <w:kern w:val="2"/>
      <w:sz w:val="21"/>
      <w:szCs w:val="21"/>
    </w:rPr>
  </w:style>
  <w:style w:type="character" w:customStyle="1" w:styleId="549">
    <w:name w:val="Char Char26"/>
    <w:qFormat/>
    <w:uiPriority w:val="0"/>
    <w:rPr>
      <w:rFonts w:eastAsia="宋体"/>
      <w:kern w:val="2"/>
      <w:sz w:val="21"/>
      <w:lang w:val="en-US" w:eastAsia="zh-CN" w:bidi="ar-SA"/>
    </w:rPr>
  </w:style>
  <w:style w:type="character" w:customStyle="1" w:styleId="550">
    <w:name w:val="标题 1 Char Char"/>
    <w:qFormat/>
    <w:uiPriority w:val="0"/>
    <w:rPr>
      <w:rFonts w:ascii="仿宋_GB2312" w:hAnsi="宋体" w:eastAsia="仿宋_GB2312" w:cs="宋体"/>
      <w:b/>
      <w:bCs/>
      <w:kern w:val="2"/>
      <w:sz w:val="30"/>
      <w:szCs w:val="30"/>
      <w:lang w:val="en-US" w:eastAsia="zh-CN" w:bidi="ar-SA"/>
    </w:rPr>
  </w:style>
  <w:style w:type="character" w:customStyle="1" w:styleId="551">
    <w:name w:val="标题 1 字符"/>
    <w:link w:val="2"/>
    <w:qFormat/>
    <w:uiPriority w:val="0"/>
    <w:rPr>
      <w:rFonts w:ascii="宋体" w:hAnsi="宋体"/>
      <w:b/>
      <w:bCs/>
      <w:kern w:val="44"/>
      <w:sz w:val="32"/>
    </w:rPr>
  </w:style>
  <w:style w:type="character" w:customStyle="1" w:styleId="552">
    <w:name w:val="Char Char28"/>
    <w:qFormat/>
    <w:uiPriority w:val="0"/>
    <w:rPr>
      <w:rFonts w:eastAsia="宋体"/>
      <w:kern w:val="2"/>
      <w:sz w:val="18"/>
      <w:lang w:val="en-US" w:eastAsia="zh-CN" w:bidi="ar-SA"/>
    </w:rPr>
  </w:style>
  <w:style w:type="character" w:customStyle="1" w:styleId="553">
    <w:name w:val="Char Char16"/>
    <w:qFormat/>
    <w:uiPriority w:val="0"/>
    <w:rPr>
      <w:rFonts w:ascii="Arial" w:hAnsi="Arial" w:eastAsia="宋体" w:cs="Arial"/>
      <w:b/>
      <w:bCs/>
      <w:kern w:val="2"/>
      <w:sz w:val="32"/>
      <w:szCs w:val="32"/>
      <w:lang w:val="en-US" w:eastAsia="zh-CN" w:bidi="ar-SA"/>
    </w:rPr>
  </w:style>
  <w:style w:type="character" w:customStyle="1" w:styleId="554">
    <w:name w:val="页脚 Char11"/>
    <w:semiHidden/>
    <w:qFormat/>
    <w:uiPriority w:val="99"/>
    <w:rPr>
      <w:rFonts w:cs="Times New Roman"/>
      <w:kern w:val="2"/>
      <w:sz w:val="18"/>
      <w:szCs w:val="18"/>
    </w:rPr>
  </w:style>
  <w:style w:type="character" w:customStyle="1" w:styleId="555">
    <w:name w:val="Char Char32"/>
    <w:qFormat/>
    <w:uiPriority w:val="0"/>
    <w:rPr>
      <w:rFonts w:ascii="宋体" w:hAnsi="宋体" w:eastAsia="宋体"/>
      <w:kern w:val="2"/>
      <w:sz w:val="21"/>
      <w:szCs w:val="24"/>
      <w:lang w:val="en-US" w:eastAsia="zh-CN" w:bidi="ar-SA"/>
    </w:rPr>
  </w:style>
  <w:style w:type="character" w:customStyle="1" w:styleId="556">
    <w:name w:val="脚注文本 Char1"/>
    <w:qFormat/>
    <w:uiPriority w:val="99"/>
    <w:rPr>
      <w:kern w:val="2"/>
      <w:sz w:val="18"/>
      <w:szCs w:val="18"/>
    </w:rPr>
  </w:style>
  <w:style w:type="character" w:customStyle="1" w:styleId="557">
    <w:name w:val="Char Char36"/>
    <w:qFormat/>
    <w:uiPriority w:val="0"/>
    <w:rPr>
      <w:rFonts w:ascii="Arial" w:hAnsi="Arial" w:eastAsia="黑体"/>
      <w:b/>
      <w:bCs/>
      <w:kern w:val="2"/>
      <w:sz w:val="24"/>
      <w:szCs w:val="24"/>
      <w:lang w:val="en-US" w:eastAsia="zh-CN" w:bidi="ar-SA"/>
    </w:rPr>
  </w:style>
  <w:style w:type="character" w:customStyle="1" w:styleId="558">
    <w:name w:val="脚注文本 Char11"/>
    <w:semiHidden/>
    <w:qFormat/>
    <w:uiPriority w:val="99"/>
    <w:rPr>
      <w:rFonts w:cs="Times New Roman"/>
      <w:kern w:val="2"/>
      <w:sz w:val="18"/>
      <w:szCs w:val="18"/>
    </w:rPr>
  </w:style>
  <w:style w:type="character" w:customStyle="1" w:styleId="559">
    <w:name w:val="正文文字缩进 Char Char"/>
    <w:qFormat/>
    <w:uiPriority w:val="0"/>
    <w:rPr>
      <w:rFonts w:eastAsia="宋体"/>
      <w:kern w:val="2"/>
      <w:sz w:val="28"/>
      <w:lang w:val="en-US" w:eastAsia="zh-CN" w:bidi="ar-SA"/>
    </w:rPr>
  </w:style>
  <w:style w:type="character" w:customStyle="1" w:styleId="560">
    <w:name w:val="Char Char311"/>
    <w:qFormat/>
    <w:uiPriority w:val="0"/>
    <w:rPr>
      <w:rFonts w:eastAsia="宋体"/>
      <w:kern w:val="2"/>
      <w:sz w:val="21"/>
      <w:lang w:val="en-US" w:eastAsia="zh-CN" w:bidi="ar-SA"/>
    </w:rPr>
  </w:style>
  <w:style w:type="character" w:customStyle="1" w:styleId="561">
    <w:name w:val="1、 Char"/>
    <w:qFormat/>
    <w:uiPriority w:val="0"/>
    <w:rPr>
      <w:rFonts w:ascii="Arial" w:hAnsi="Arial" w:eastAsia="宋体"/>
      <w:b/>
      <w:color w:val="000000"/>
      <w:kern w:val="2"/>
      <w:sz w:val="24"/>
      <w:szCs w:val="24"/>
      <w:lang w:val="en-US" w:eastAsia="zh-CN" w:bidi="ar-SA"/>
    </w:rPr>
  </w:style>
  <w:style w:type="character" w:customStyle="1" w:styleId="562">
    <w:name w:val="Char Char381"/>
    <w:qFormat/>
    <w:uiPriority w:val="0"/>
    <w:rPr>
      <w:rFonts w:ascii="仿宋_GB2312" w:hAnsi="宋体" w:eastAsia="仿宋_GB2312" w:cs="宋体"/>
      <w:b/>
      <w:kern w:val="2"/>
      <w:sz w:val="30"/>
      <w:szCs w:val="30"/>
      <w:lang w:val="en-US" w:eastAsia="zh-CN" w:bidi="ar-SA"/>
    </w:rPr>
  </w:style>
  <w:style w:type="character" w:customStyle="1" w:styleId="563">
    <w:name w:val="Char Char15"/>
    <w:qFormat/>
    <w:uiPriority w:val="0"/>
    <w:rPr>
      <w:rFonts w:ascii="Arial" w:hAnsi="Arial" w:eastAsia="黑体"/>
      <w:kern w:val="2"/>
      <w:sz w:val="21"/>
      <w:lang w:val="en-US" w:eastAsia="zh-CN" w:bidi="ar-SA"/>
    </w:rPr>
  </w:style>
  <w:style w:type="character" w:customStyle="1" w:styleId="564">
    <w:name w:val="Char Char212"/>
    <w:qFormat/>
    <w:uiPriority w:val="0"/>
    <w:rPr>
      <w:rFonts w:ascii="Arial" w:hAnsi="Arial" w:eastAsia="宋体"/>
      <w:color w:val="000000"/>
      <w:kern w:val="2"/>
      <w:sz w:val="24"/>
      <w:szCs w:val="24"/>
      <w:lang w:val="en-US" w:eastAsia="zh-CN" w:bidi="ar-SA"/>
    </w:rPr>
  </w:style>
  <w:style w:type="character" w:customStyle="1" w:styleId="565">
    <w:name w:val="fontorange1"/>
    <w:qFormat/>
    <w:uiPriority w:val="0"/>
    <w:rPr>
      <w:rFonts w:hint="default" w:ascii="ˎ̥" w:hAnsi="ˎ̥"/>
      <w:color w:val="FF6600"/>
      <w:sz w:val="18"/>
      <w:szCs w:val="18"/>
    </w:rPr>
  </w:style>
  <w:style w:type="character" w:customStyle="1" w:styleId="566">
    <w:name w:val="Char Char Char11"/>
    <w:qFormat/>
    <w:uiPriority w:val="0"/>
    <w:rPr>
      <w:rFonts w:ascii="宋体" w:hAnsi="宋体" w:eastAsia="宋体"/>
      <w:kern w:val="2"/>
      <w:sz w:val="21"/>
      <w:szCs w:val="24"/>
      <w:lang w:val="en-US" w:eastAsia="zh-CN" w:bidi="ar-SA"/>
    </w:rPr>
  </w:style>
  <w:style w:type="character" w:customStyle="1" w:styleId="567">
    <w:name w:val="Char Char261"/>
    <w:qFormat/>
    <w:uiPriority w:val="0"/>
    <w:rPr>
      <w:rFonts w:eastAsia="宋体"/>
      <w:kern w:val="2"/>
      <w:sz w:val="21"/>
      <w:lang w:val="en-US" w:eastAsia="zh-CN" w:bidi="ar-SA"/>
    </w:rPr>
  </w:style>
  <w:style w:type="character" w:customStyle="1" w:styleId="568">
    <w:name w:val="Char Char30"/>
    <w:qFormat/>
    <w:uiPriority w:val="0"/>
    <w:rPr>
      <w:rFonts w:ascii="宋体" w:hAnsi="宋体" w:eastAsia="宋体"/>
      <w:kern w:val="2"/>
      <w:sz w:val="21"/>
      <w:szCs w:val="24"/>
      <w:u w:val="single"/>
      <w:lang w:val="en-US" w:eastAsia="zh-CN" w:bidi="ar-SA"/>
    </w:rPr>
  </w:style>
  <w:style w:type="character" w:customStyle="1" w:styleId="569">
    <w:name w:val="鋘drad Char1"/>
    <w:qFormat/>
    <w:uiPriority w:val="0"/>
    <w:rPr>
      <w:rFonts w:eastAsia="楷体_GB2312"/>
      <w:kern w:val="2"/>
      <w:sz w:val="21"/>
      <w:lang w:val="en-US" w:eastAsia="zh-CN" w:bidi="ar-SA"/>
    </w:rPr>
  </w:style>
  <w:style w:type="character" w:customStyle="1" w:styleId="570">
    <w:name w:val="Char Char391"/>
    <w:qFormat/>
    <w:uiPriority w:val="0"/>
    <w:rPr>
      <w:rFonts w:ascii="仿宋_GB2312" w:hAnsi="宋体" w:eastAsia="仿宋_GB2312" w:cs="宋体"/>
      <w:b/>
      <w:bCs/>
      <w:kern w:val="2"/>
      <w:sz w:val="30"/>
      <w:szCs w:val="30"/>
      <w:lang w:val="en-US" w:eastAsia="zh-CN" w:bidi="ar-SA"/>
    </w:rPr>
  </w:style>
  <w:style w:type="character" w:customStyle="1" w:styleId="571">
    <w:name w:val="Char Char191"/>
    <w:qFormat/>
    <w:uiPriority w:val="0"/>
    <w:rPr>
      <w:rFonts w:ascii="Arial" w:hAnsi="Arial" w:eastAsia="黑体"/>
      <w:b/>
      <w:bCs/>
      <w:kern w:val="2"/>
      <w:sz w:val="24"/>
      <w:szCs w:val="24"/>
      <w:lang w:val="en-US" w:eastAsia="zh-CN" w:bidi="ar-SA"/>
    </w:rPr>
  </w:style>
  <w:style w:type="character" w:customStyle="1" w:styleId="572">
    <w:name w:val="Char Char331"/>
    <w:qFormat/>
    <w:uiPriority w:val="0"/>
    <w:rPr>
      <w:rFonts w:eastAsia="宋体"/>
      <w:kern w:val="2"/>
      <w:sz w:val="21"/>
      <w:lang w:val="en-US" w:eastAsia="zh-CN" w:bidi="ar-SA"/>
    </w:rPr>
  </w:style>
  <w:style w:type="character" w:customStyle="1" w:styleId="573">
    <w:name w:val="日期 Char2"/>
    <w:qFormat/>
    <w:uiPriority w:val="0"/>
    <w:rPr>
      <w:kern w:val="2"/>
      <w:sz w:val="21"/>
    </w:rPr>
  </w:style>
  <w:style w:type="character" w:customStyle="1" w:styleId="574">
    <w:name w:val="Char Char22"/>
    <w:qFormat/>
    <w:uiPriority w:val="0"/>
    <w:rPr>
      <w:rFonts w:eastAsia="宋体"/>
      <w:b/>
      <w:color w:val="000000"/>
      <w:kern w:val="2"/>
      <w:sz w:val="24"/>
      <w:szCs w:val="24"/>
      <w:lang w:val="en-US" w:eastAsia="zh-CN" w:bidi="ar-SA"/>
    </w:rPr>
  </w:style>
  <w:style w:type="character" w:customStyle="1" w:styleId="575">
    <w:name w:val="批注文字 Char11"/>
    <w:semiHidden/>
    <w:qFormat/>
    <w:uiPriority w:val="99"/>
    <w:rPr>
      <w:rFonts w:cs="Times New Roman"/>
      <w:kern w:val="2"/>
      <w:sz w:val="21"/>
    </w:rPr>
  </w:style>
  <w:style w:type="character" w:customStyle="1" w:styleId="576">
    <w:name w:val="Char Char151"/>
    <w:qFormat/>
    <w:uiPriority w:val="0"/>
    <w:rPr>
      <w:rFonts w:ascii="Arial" w:hAnsi="Arial" w:eastAsia="黑体"/>
      <w:kern w:val="2"/>
      <w:sz w:val="21"/>
      <w:lang w:val="en-US" w:eastAsia="zh-CN" w:bidi="ar-SA"/>
    </w:rPr>
  </w:style>
  <w:style w:type="character" w:customStyle="1" w:styleId="577">
    <w:name w:val="Char Char121"/>
    <w:qFormat/>
    <w:uiPriority w:val="0"/>
    <w:rPr>
      <w:rFonts w:eastAsia="宋体"/>
      <w:kern w:val="2"/>
      <w:sz w:val="18"/>
      <w:lang w:val="en-US" w:eastAsia="zh-CN" w:bidi="ar-SA"/>
    </w:rPr>
  </w:style>
  <w:style w:type="character" w:customStyle="1" w:styleId="578">
    <w:name w:val="正文文本 Char1"/>
    <w:qFormat/>
    <w:uiPriority w:val="99"/>
    <w:rPr>
      <w:kern w:val="2"/>
      <w:sz w:val="21"/>
    </w:rPr>
  </w:style>
  <w:style w:type="character" w:customStyle="1" w:styleId="579">
    <w:name w:val="Char Char27"/>
    <w:qFormat/>
    <w:uiPriority w:val="0"/>
    <w:rPr>
      <w:rFonts w:eastAsia="宋体"/>
      <w:kern w:val="2"/>
      <w:sz w:val="21"/>
      <w:lang w:val="en-US" w:eastAsia="zh-CN" w:bidi="ar-SA"/>
    </w:rPr>
  </w:style>
  <w:style w:type="character" w:customStyle="1" w:styleId="580">
    <w:name w:val="文档结构图 Char1"/>
    <w:qFormat/>
    <w:uiPriority w:val="99"/>
    <w:rPr>
      <w:rFonts w:ascii="宋体" w:eastAsia="宋体"/>
      <w:sz w:val="18"/>
      <w:szCs w:val="18"/>
    </w:rPr>
  </w:style>
  <w:style w:type="character" w:customStyle="1" w:styleId="581">
    <w:name w:val="Char Char321"/>
    <w:uiPriority w:val="0"/>
    <w:rPr>
      <w:rFonts w:ascii="宋体" w:hAnsi="宋体" w:eastAsia="宋体"/>
      <w:kern w:val="2"/>
      <w:sz w:val="21"/>
      <w:szCs w:val="24"/>
      <w:lang w:val="en-US" w:eastAsia="zh-CN" w:bidi="ar-SA"/>
    </w:rPr>
  </w:style>
  <w:style w:type="character" w:customStyle="1" w:styleId="582">
    <w:name w:val="正文文本缩进 2 Char11"/>
    <w:semiHidden/>
    <w:qFormat/>
    <w:uiPriority w:val="99"/>
    <w:rPr>
      <w:rFonts w:cs="Times New Roman"/>
      <w:kern w:val="2"/>
      <w:sz w:val="21"/>
    </w:rPr>
  </w:style>
  <w:style w:type="character" w:customStyle="1" w:styleId="583">
    <w:name w:val="正文首行缩进 Char2"/>
    <w:qFormat/>
    <w:uiPriority w:val="0"/>
    <w:rPr>
      <w:kern w:val="2"/>
      <w:sz w:val="21"/>
    </w:rPr>
  </w:style>
  <w:style w:type="character" w:customStyle="1" w:styleId="584">
    <w:name w:val="Char Char34"/>
    <w:qFormat/>
    <w:uiPriority w:val="0"/>
    <w:rPr>
      <w:rFonts w:eastAsia="楷体_GB2312"/>
      <w:kern w:val="2"/>
      <w:sz w:val="21"/>
      <w:szCs w:val="24"/>
      <w:lang w:val="en-US" w:eastAsia="zh-CN" w:bidi="ar-SA"/>
    </w:rPr>
  </w:style>
  <w:style w:type="character" w:customStyle="1" w:styleId="585">
    <w:name w:val="Char Char20"/>
    <w:qFormat/>
    <w:uiPriority w:val="0"/>
    <w:rPr>
      <w:rFonts w:ascii="Arial" w:hAnsi="Arial" w:eastAsia="宋体"/>
      <w:color w:val="000000"/>
      <w:kern w:val="2"/>
      <w:sz w:val="24"/>
      <w:szCs w:val="24"/>
      <w:lang w:val="en-US" w:eastAsia="zh-CN" w:bidi="ar-SA"/>
    </w:rPr>
  </w:style>
  <w:style w:type="character" w:customStyle="1" w:styleId="586">
    <w:name w:val="标题 1 Char"/>
    <w:qFormat/>
    <w:uiPriority w:val="0"/>
    <w:rPr>
      <w:b/>
      <w:bCs/>
      <w:kern w:val="44"/>
      <w:sz w:val="44"/>
      <w:szCs w:val="44"/>
    </w:rPr>
  </w:style>
  <w:style w:type="character" w:customStyle="1" w:styleId="587">
    <w:name w:val="日期 Char11"/>
    <w:semiHidden/>
    <w:qFormat/>
    <w:uiPriority w:val="99"/>
    <w:rPr>
      <w:rFonts w:cs="Times New Roman"/>
      <w:kern w:val="2"/>
      <w:sz w:val="21"/>
    </w:rPr>
  </w:style>
  <w:style w:type="character" w:customStyle="1" w:styleId="588">
    <w:name w:val="文一 Char Char"/>
    <w:link w:val="589"/>
    <w:uiPriority w:val="0"/>
    <w:rPr>
      <w:spacing w:val="4"/>
      <w:sz w:val="24"/>
      <w:szCs w:val="24"/>
    </w:rPr>
  </w:style>
  <w:style w:type="paragraph" w:customStyle="1" w:styleId="589">
    <w:name w:val="文一"/>
    <w:basedOn w:val="1"/>
    <w:link w:val="588"/>
    <w:qFormat/>
    <w:uiPriority w:val="0"/>
    <w:pPr>
      <w:topLinePunct/>
      <w:adjustRightInd w:val="0"/>
      <w:snapToGrid w:val="0"/>
      <w:spacing w:line="360" w:lineRule="auto"/>
      <w:ind w:firstLine="200" w:firstLineChars="200"/>
    </w:pPr>
    <w:rPr>
      <w:spacing w:val="4"/>
      <w:kern w:val="0"/>
      <w:sz w:val="24"/>
    </w:rPr>
  </w:style>
  <w:style w:type="character" w:customStyle="1" w:styleId="590">
    <w:name w:val="Char Char19"/>
    <w:qFormat/>
    <w:uiPriority w:val="0"/>
    <w:rPr>
      <w:rFonts w:ascii="Arial" w:hAnsi="Arial" w:eastAsia="黑体"/>
      <w:b/>
      <w:bCs/>
      <w:kern w:val="2"/>
      <w:sz w:val="24"/>
      <w:szCs w:val="24"/>
      <w:lang w:val="en-US" w:eastAsia="zh-CN" w:bidi="ar-SA"/>
    </w:rPr>
  </w:style>
  <w:style w:type="character" w:customStyle="1" w:styleId="591">
    <w:name w:val="（1） Char"/>
    <w:qFormat/>
    <w:uiPriority w:val="0"/>
    <w:rPr>
      <w:rFonts w:eastAsia="宋体"/>
      <w:b/>
      <w:kern w:val="2"/>
      <w:sz w:val="24"/>
      <w:lang w:val="en-US" w:eastAsia="zh-CN" w:bidi="ar-SA"/>
    </w:rPr>
  </w:style>
  <w:style w:type="character" w:customStyle="1" w:styleId="592">
    <w:name w:val="Char Char291"/>
    <w:qFormat/>
    <w:uiPriority w:val="0"/>
    <w:rPr>
      <w:rFonts w:eastAsia="宋体"/>
      <w:kern w:val="2"/>
      <w:sz w:val="18"/>
      <w:lang w:val="en-US" w:eastAsia="zh-CN" w:bidi="ar-SA"/>
    </w:rPr>
  </w:style>
  <w:style w:type="character" w:customStyle="1" w:styleId="593">
    <w:name w:val="Footer1 Char"/>
    <w:qFormat/>
    <w:uiPriority w:val="0"/>
    <w:rPr>
      <w:rFonts w:eastAsia="楷体_GB2312"/>
      <w:kern w:val="2"/>
      <w:sz w:val="18"/>
      <w:szCs w:val="18"/>
      <w:lang w:val="en-US" w:eastAsia="zh-CN" w:bidi="ar-SA"/>
    </w:rPr>
  </w:style>
  <w:style w:type="character" w:customStyle="1" w:styleId="594">
    <w:name w:val="Char Char35"/>
    <w:uiPriority w:val="0"/>
    <w:rPr>
      <w:rFonts w:ascii="Arial" w:hAnsi="Arial" w:eastAsia="楷体_GB2312"/>
      <w:b/>
      <w:kern w:val="2"/>
      <w:sz w:val="44"/>
      <w:szCs w:val="24"/>
      <w:lang w:val="en-US" w:eastAsia="zh-CN" w:bidi="ar-SA"/>
    </w:rPr>
  </w:style>
  <w:style w:type="character" w:customStyle="1" w:styleId="595">
    <w:name w:val="Char Char201"/>
    <w:qFormat/>
    <w:uiPriority w:val="0"/>
    <w:rPr>
      <w:rFonts w:ascii="Arial" w:hAnsi="Arial" w:eastAsia="宋体"/>
      <w:color w:val="000000"/>
      <w:kern w:val="2"/>
      <w:sz w:val="24"/>
      <w:szCs w:val="24"/>
      <w:lang w:val="en-US" w:eastAsia="zh-CN" w:bidi="ar-SA"/>
    </w:rPr>
  </w:style>
  <w:style w:type="character" w:customStyle="1" w:styleId="596">
    <w:name w:val="Char Char33"/>
    <w:uiPriority w:val="0"/>
    <w:rPr>
      <w:rFonts w:eastAsia="宋体"/>
      <w:kern w:val="2"/>
      <w:sz w:val="21"/>
      <w:lang w:val="en-US" w:eastAsia="zh-CN" w:bidi="ar-SA"/>
    </w:rPr>
  </w:style>
  <w:style w:type="character" w:customStyle="1" w:styleId="597">
    <w:name w:val="Char Char29"/>
    <w:qFormat/>
    <w:uiPriority w:val="0"/>
    <w:rPr>
      <w:rFonts w:eastAsia="宋体"/>
      <w:kern w:val="2"/>
      <w:sz w:val="18"/>
      <w:lang w:val="en-US" w:eastAsia="zh-CN" w:bidi="ar-SA"/>
    </w:rPr>
  </w:style>
  <w:style w:type="character" w:customStyle="1" w:styleId="598">
    <w:name w:val="文一 Char"/>
    <w:qFormat/>
    <w:uiPriority w:val="0"/>
    <w:rPr>
      <w:spacing w:val="4"/>
      <w:sz w:val="24"/>
      <w:szCs w:val="24"/>
    </w:rPr>
  </w:style>
  <w:style w:type="character" w:customStyle="1" w:styleId="599">
    <w:name w:val="Char Char24"/>
    <w:qFormat/>
    <w:uiPriority w:val="0"/>
    <w:rPr>
      <w:rFonts w:ascii="Arial" w:hAnsi="Arial" w:eastAsia="宋体"/>
      <w:b/>
      <w:bCs/>
      <w:color w:val="000000"/>
      <w:kern w:val="44"/>
      <w:sz w:val="30"/>
      <w:szCs w:val="30"/>
      <w:lang w:val="en-US" w:eastAsia="zh-CN" w:bidi="ar-SA"/>
    </w:rPr>
  </w:style>
  <w:style w:type="character" w:customStyle="1" w:styleId="600">
    <w:name w:val="脚注文本 Char2"/>
    <w:qFormat/>
    <w:uiPriority w:val="0"/>
    <w:rPr>
      <w:kern w:val="2"/>
      <w:sz w:val="18"/>
      <w:szCs w:val="18"/>
    </w:rPr>
  </w:style>
  <w:style w:type="character" w:customStyle="1" w:styleId="601">
    <w:name w:val="文档结构图 Char11"/>
    <w:semiHidden/>
    <w:qFormat/>
    <w:uiPriority w:val="99"/>
    <w:rPr>
      <w:rFonts w:ascii="宋体" w:cs="Times New Roman"/>
      <w:kern w:val="2"/>
      <w:sz w:val="18"/>
      <w:szCs w:val="18"/>
    </w:rPr>
  </w:style>
  <w:style w:type="character" w:customStyle="1" w:styleId="602">
    <w:name w:val="Char Char25"/>
    <w:qFormat/>
    <w:uiPriority w:val="0"/>
    <w:rPr>
      <w:rFonts w:ascii="Arial" w:hAnsi="Arial" w:eastAsia="宋体"/>
      <w:b/>
      <w:bCs/>
      <w:color w:val="000000"/>
      <w:kern w:val="44"/>
      <w:sz w:val="30"/>
      <w:szCs w:val="30"/>
      <w:lang w:val="en-US" w:eastAsia="zh-CN" w:bidi="ar-SA"/>
    </w:rPr>
  </w:style>
  <w:style w:type="character" w:customStyle="1" w:styleId="603">
    <w:name w:val="日期 Char1"/>
    <w:qFormat/>
    <w:uiPriority w:val="99"/>
    <w:rPr>
      <w:kern w:val="2"/>
      <w:sz w:val="21"/>
    </w:rPr>
  </w:style>
  <w:style w:type="character" w:customStyle="1" w:styleId="604">
    <w:name w:val="样式 摘要 + 非加粗 Char"/>
    <w:link w:val="605"/>
    <w:qFormat/>
    <w:uiPriority w:val="0"/>
    <w:rPr>
      <w:rFonts w:ascii="Arial" w:hAnsi="Arial" w:eastAsia="幼圆"/>
      <w:sz w:val="24"/>
      <w:szCs w:val="21"/>
      <w:lang w:eastAsia="en-US"/>
    </w:rPr>
  </w:style>
  <w:style w:type="paragraph" w:customStyle="1" w:styleId="605">
    <w:name w:val="样式 摘要 + 非加粗"/>
    <w:basedOn w:val="1"/>
    <w:link w:val="604"/>
    <w:qFormat/>
    <w:uiPriority w:val="0"/>
    <w:pPr>
      <w:widowControl/>
      <w:tabs>
        <w:tab w:val="left" w:pos="907"/>
      </w:tabs>
      <w:autoSpaceDE w:val="0"/>
      <w:autoSpaceDN w:val="0"/>
      <w:adjustRightInd w:val="0"/>
      <w:spacing w:line="360" w:lineRule="auto"/>
      <w:ind w:left="879" w:hanging="879" w:firstLineChars="200"/>
    </w:pPr>
    <w:rPr>
      <w:rFonts w:ascii="Arial" w:hAnsi="Arial" w:eastAsia="幼圆"/>
      <w:kern w:val="0"/>
      <w:sz w:val="24"/>
      <w:szCs w:val="21"/>
      <w:lang w:eastAsia="en-US"/>
    </w:rPr>
  </w:style>
  <w:style w:type="paragraph" w:customStyle="1" w:styleId="606">
    <w:name w:val="正题"/>
    <w:basedOn w:val="589"/>
    <w:next w:val="589"/>
    <w:qFormat/>
    <w:uiPriority w:val="0"/>
    <w:pPr>
      <w:ind w:firstLine="0" w:firstLineChars="0"/>
      <w:jc w:val="center"/>
    </w:pPr>
    <w:rPr>
      <w:rFonts w:eastAsia="黑体"/>
      <w:b/>
      <w:kern w:val="2"/>
      <w:sz w:val="36"/>
      <w:szCs w:val="36"/>
    </w:rPr>
  </w:style>
  <w:style w:type="paragraph" w:customStyle="1" w:styleId="607">
    <w:name w:val="Char Char1 Char Char Char Char Char Char Char Char Char Char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608">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9">
    <w:name w:val="封二"/>
    <w:basedOn w:val="589"/>
    <w:next w:val="589"/>
    <w:qFormat/>
    <w:uiPriority w:val="0"/>
    <w:pPr>
      <w:ind w:firstLine="0" w:firstLineChars="0"/>
      <w:jc w:val="center"/>
    </w:pPr>
    <w:rPr>
      <w:rFonts w:eastAsia="黑体"/>
      <w:b/>
      <w:kern w:val="2"/>
      <w:sz w:val="36"/>
      <w:szCs w:val="36"/>
    </w:rPr>
  </w:style>
  <w:style w:type="paragraph" w:customStyle="1" w:styleId="610">
    <w:name w:val="Char12"/>
    <w:basedOn w:val="1"/>
    <w:qFormat/>
    <w:uiPriority w:val="0"/>
    <w:pPr>
      <w:ind w:left="567" w:hanging="279"/>
    </w:pPr>
    <w:rPr>
      <w:sz w:val="24"/>
    </w:rPr>
  </w:style>
  <w:style w:type="paragraph" w:customStyle="1" w:styleId="611">
    <w:name w:val="目录文字"/>
    <w:basedOn w:val="1"/>
    <w:qFormat/>
    <w:uiPriority w:val="0"/>
    <w:pPr>
      <w:widowControl/>
      <w:spacing w:line="480" w:lineRule="auto"/>
      <w:jc w:val="left"/>
    </w:pPr>
    <w:rPr>
      <w:rFonts w:ascii="宋体" w:hAnsi="宋体"/>
      <w:kern w:val="0"/>
      <w:sz w:val="24"/>
      <w:szCs w:val="20"/>
    </w:rPr>
  </w:style>
  <w:style w:type="paragraph" w:customStyle="1" w:styleId="612">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613">
    <w:name w:val="公文标题"/>
    <w:basedOn w:val="5"/>
    <w:qFormat/>
    <w:uiPriority w:val="0"/>
    <w:pPr>
      <w:spacing w:before="0" w:after="0" w:line="240" w:lineRule="auto"/>
      <w:ind w:left="1469" w:right="1542"/>
      <w:jc w:val="center"/>
    </w:pPr>
    <w:rPr>
      <w:bCs w:val="0"/>
      <w:sz w:val="44"/>
      <w:szCs w:val="24"/>
      <w:lang w:val="en-US"/>
    </w:rPr>
  </w:style>
  <w:style w:type="character" w:customStyle="1" w:styleId="614">
    <w:name w:val="尾注文本 Char4"/>
    <w:qFormat/>
    <w:uiPriority w:val="0"/>
    <w:rPr>
      <w:kern w:val="2"/>
      <w:sz w:val="21"/>
      <w:szCs w:val="24"/>
    </w:rPr>
  </w:style>
  <w:style w:type="paragraph" w:customStyle="1" w:styleId="615">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16">
    <w:name w:val="È¡ÀÊ¡ÎÄ¡À¾"/>
    <w:basedOn w:val="1"/>
    <w:qFormat/>
    <w:uiPriority w:val="0"/>
    <w:pPr>
      <w:widowControl/>
      <w:overflowPunct w:val="0"/>
      <w:autoSpaceDE w:val="0"/>
      <w:autoSpaceDN w:val="0"/>
      <w:adjustRightInd w:val="0"/>
      <w:spacing w:line="360" w:lineRule="auto"/>
    </w:pPr>
    <w:rPr>
      <w:kern w:val="0"/>
      <w:szCs w:val="20"/>
    </w:rPr>
  </w:style>
  <w:style w:type="paragraph" w:customStyle="1" w:styleId="617">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618">
    <w:name w:val="样式 标题 2 + 首行缩进:  0.74 厘米"/>
    <w:basedOn w:val="3"/>
    <w:qFormat/>
    <w:uiPriority w:val="0"/>
    <w:pPr>
      <w:numPr>
        <w:ilvl w:val="1"/>
        <w:numId w:val="1"/>
      </w:numPr>
      <w:tabs>
        <w:tab w:val="left" w:pos="330"/>
        <w:tab w:val="left" w:pos="575"/>
        <w:tab w:val="left" w:pos="840"/>
      </w:tabs>
      <w:autoSpaceDE/>
      <w:autoSpaceDN/>
      <w:adjustRightInd/>
      <w:spacing w:line="416" w:lineRule="auto"/>
      <w:ind w:firstLine="420"/>
      <w:textAlignment w:val="auto"/>
    </w:pPr>
    <w:rPr>
      <w:rFonts w:ascii="Arial" w:hAnsi="Arial" w:eastAsia="黑体" w:cs="宋体"/>
      <w:b/>
      <w:bCs/>
      <w:kern w:val="2"/>
      <w:sz w:val="24"/>
      <w:lang w:val="en-US"/>
    </w:rPr>
  </w:style>
  <w:style w:type="paragraph" w:customStyle="1" w:styleId="619">
    <w:name w:val="Char3 Char Char Char"/>
    <w:basedOn w:val="1"/>
    <w:qFormat/>
    <w:uiPriority w:val="0"/>
    <w:pPr>
      <w:ind w:left="567" w:hanging="279"/>
    </w:pPr>
    <w:rPr>
      <w:sz w:val="24"/>
    </w:rPr>
  </w:style>
  <w:style w:type="paragraph" w:customStyle="1" w:styleId="620">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621">
    <w:name w:val="样式 标题 1H1h1Level 1 Topic Heading1st levelSection Headl1I1...1"/>
    <w:qFormat/>
    <w:uiPriority w:val="0"/>
    <w:pPr>
      <w:tabs>
        <w:tab w:val="left" w:pos="720"/>
      </w:tabs>
      <w:spacing w:line="360" w:lineRule="auto"/>
    </w:pPr>
    <w:rPr>
      <w:rFonts w:ascii="Times New Roman" w:hAnsi="Times New Roman" w:eastAsia="宋体" w:cs="宋体"/>
      <w:sz w:val="30"/>
      <w:lang w:val="en-US" w:eastAsia="zh-CN" w:bidi="ar-SA"/>
    </w:rPr>
  </w:style>
  <w:style w:type="paragraph" w:customStyle="1" w:styleId="622">
    <w:name w:val="正文文本1"/>
    <w:qFormat/>
    <w:uiPriority w:val="0"/>
    <w:pPr>
      <w:spacing w:after="120"/>
    </w:pPr>
    <w:rPr>
      <w:rFonts w:ascii="宋体" w:hAnsi="宋体" w:eastAsia="宋体" w:cs="Times New Roman"/>
      <w:b/>
      <w:bCs/>
      <w:szCs w:val="21"/>
      <w:lang w:val="en-US" w:eastAsia="zh-CN" w:bidi="ar-SA"/>
    </w:rPr>
  </w:style>
  <w:style w:type="paragraph" w:customStyle="1" w:styleId="623">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24">
    <w:name w:val="默认段落字体 Para Char Char Char Char Char Char Char Char Char1 Char Char Char Char Char Char Char"/>
    <w:basedOn w:val="22"/>
    <w:qFormat/>
    <w:uiPriority w:val="0"/>
    <w:rPr>
      <w:rFonts w:ascii="Tahoma" w:hAnsi="Tahoma"/>
      <w:sz w:val="24"/>
      <w:lang w:val="en-US"/>
    </w:rPr>
  </w:style>
  <w:style w:type="paragraph" w:customStyle="1" w:styleId="625">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626">
    <w:name w:val="Char Char16 Char Char1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627">
    <w:name w:val="Graphics"/>
    <w:basedOn w:val="1"/>
    <w:qFormat/>
    <w:uiPriority w:val="0"/>
    <w:pPr>
      <w:widowControl/>
      <w:spacing w:before="120"/>
      <w:jc w:val="left"/>
    </w:pPr>
    <w:rPr>
      <w:color w:val="000000"/>
      <w:kern w:val="0"/>
      <w:sz w:val="20"/>
      <w:szCs w:val="20"/>
      <w:lang w:eastAsia="en-US"/>
    </w:rPr>
  </w:style>
  <w:style w:type="paragraph" w:customStyle="1" w:styleId="628">
    <w:name w:val="Char Char Char Char Char Char Char Char2"/>
    <w:basedOn w:val="1"/>
    <w:qFormat/>
    <w:uiPriority w:val="0"/>
    <w:pPr>
      <w:widowControl/>
      <w:spacing w:before="120" w:after="120" w:line="440" w:lineRule="exact"/>
      <w:jc w:val="left"/>
    </w:pPr>
    <w:rPr>
      <w:rFonts w:ascii="宋体" w:hAnsi="宋体"/>
      <w:kern w:val="0"/>
      <w:sz w:val="22"/>
      <w:szCs w:val="22"/>
    </w:rPr>
  </w:style>
  <w:style w:type="paragraph" w:customStyle="1" w:styleId="629">
    <w:name w:val="块引用"/>
    <w:basedOn w:val="1"/>
    <w:qFormat/>
    <w:uiPriority w:val="0"/>
    <w:pPr>
      <w:keepLines/>
      <w:ind w:left="360" w:right="360"/>
      <w:jc w:val="center"/>
    </w:pPr>
    <w:rPr>
      <w:i/>
    </w:rPr>
  </w:style>
  <w:style w:type="paragraph" w:customStyle="1" w:styleId="630">
    <w:name w:val="公文抬头"/>
    <w:basedOn w:val="4"/>
    <w:uiPriority w:val="0"/>
    <w:pPr>
      <w:ind w:firstLine="0" w:firstLineChars="0"/>
    </w:pPr>
    <w:rPr>
      <w:rFonts w:ascii="仿宋_GB2312" w:eastAsia="仿宋_GB2312"/>
      <w:sz w:val="30"/>
      <w:lang w:val="en-US"/>
    </w:rPr>
  </w:style>
  <w:style w:type="paragraph" w:customStyle="1" w:styleId="631">
    <w:name w:val="1册标题1"/>
    <w:basedOn w:val="1"/>
    <w:next w:val="1"/>
    <w:qFormat/>
    <w:uiPriority w:val="0"/>
    <w:pPr>
      <w:spacing w:beforeLines="50" w:afterLines="50"/>
      <w:jc w:val="center"/>
      <w:outlineLvl w:val="0"/>
    </w:pPr>
    <w:rPr>
      <w:rFonts w:ascii="Arial" w:hAnsi="Arial" w:eastAsia="黑体"/>
      <w:b/>
      <w:bCs/>
      <w:sz w:val="48"/>
      <w:szCs w:val="20"/>
    </w:rPr>
  </w:style>
  <w:style w:type="paragraph" w:customStyle="1" w:styleId="632">
    <w:name w:val="Normal_3"/>
    <w:qFormat/>
    <w:uiPriority w:val="0"/>
    <w:rPr>
      <w:rFonts w:ascii="Times New Roman" w:hAnsi="Times New Roman" w:eastAsia="Times New Roman" w:cs="Times New Roman"/>
      <w:sz w:val="24"/>
      <w:szCs w:val="24"/>
      <w:lang w:val="en-US" w:eastAsia="zh-CN" w:bidi="ar-SA"/>
    </w:rPr>
  </w:style>
  <w:style w:type="paragraph" w:customStyle="1" w:styleId="633">
    <w:name w:val="2册标题5"/>
    <w:basedOn w:val="634"/>
    <w:next w:val="1"/>
    <w:uiPriority w:val="0"/>
    <w:pPr>
      <w:ind w:left="720" w:leftChars="300"/>
      <w:outlineLvl w:val="4"/>
    </w:pPr>
    <w:rPr>
      <w:rFonts w:eastAsia="楷体_GB2312" w:cs="Arial"/>
      <w:b/>
    </w:rPr>
  </w:style>
  <w:style w:type="paragraph" w:customStyle="1" w:styleId="634">
    <w:name w:val="2册标题4"/>
    <w:basedOn w:val="1"/>
    <w:next w:val="1"/>
    <w:qFormat/>
    <w:uiPriority w:val="0"/>
    <w:pPr>
      <w:spacing w:beforeLines="50" w:afterLines="50"/>
      <w:ind w:left="480" w:leftChars="200"/>
      <w:outlineLvl w:val="3"/>
    </w:pPr>
    <w:rPr>
      <w:rFonts w:ascii="Arial" w:hAnsi="Arial" w:eastAsia="黑体"/>
      <w:sz w:val="24"/>
    </w:rPr>
  </w:style>
  <w:style w:type="paragraph" w:customStyle="1" w:styleId="6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36">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637">
    <w:name w:val="Char3 Char Char Char1"/>
    <w:basedOn w:val="1"/>
    <w:qFormat/>
    <w:uiPriority w:val="0"/>
    <w:pPr>
      <w:ind w:left="567" w:hanging="279"/>
    </w:pPr>
    <w:rPr>
      <w:sz w:val="24"/>
    </w:rPr>
  </w:style>
  <w:style w:type="paragraph" w:customStyle="1" w:styleId="638">
    <w:name w:val="ooo"/>
    <w:basedOn w:val="1"/>
    <w:qFormat/>
    <w:uiPriority w:val="0"/>
    <w:pPr>
      <w:adjustRightInd w:val="0"/>
      <w:snapToGrid w:val="0"/>
      <w:spacing w:line="300" w:lineRule="auto"/>
      <w:ind w:firstLine="567"/>
      <w:jc w:val="left"/>
    </w:pPr>
    <w:rPr>
      <w:spacing w:val="20"/>
      <w:sz w:val="28"/>
      <w:szCs w:val="20"/>
    </w:rPr>
  </w:style>
  <w:style w:type="paragraph" w:customStyle="1" w:styleId="639">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640">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641">
    <w:name w:val="目录"/>
    <w:basedOn w:val="1"/>
    <w:qFormat/>
    <w:uiPriority w:val="0"/>
    <w:pPr>
      <w:widowControl/>
      <w:jc w:val="center"/>
    </w:pPr>
    <w:rPr>
      <w:rFonts w:ascii="宋体"/>
      <w:b/>
      <w:kern w:val="0"/>
      <w:sz w:val="36"/>
      <w:szCs w:val="20"/>
    </w:rPr>
  </w:style>
  <w:style w:type="paragraph" w:customStyle="1" w:styleId="642">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43">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644">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45">
    <w:name w:val="Char Char1 Char Char Char Char1"/>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646">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647">
    <w:name w:val="偶数页篇眉"/>
    <w:basedOn w:val="45"/>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lang w:val="en-US"/>
    </w:rPr>
  </w:style>
  <w:style w:type="paragraph" w:customStyle="1" w:styleId="648">
    <w:name w:val="项目"/>
    <w:basedOn w:val="1"/>
    <w:qFormat/>
    <w:uiPriority w:val="0"/>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649">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50">
    <w:name w:val="1册标题2"/>
    <w:basedOn w:val="3"/>
    <w:next w:val="1"/>
    <w:qFormat/>
    <w:uiPriority w:val="0"/>
    <w:pPr>
      <w:keepNext w:val="0"/>
      <w:keepLines w:val="0"/>
      <w:autoSpaceDE/>
      <w:autoSpaceDN/>
      <w:adjustRightInd/>
      <w:spacing w:before="0" w:after="0" w:line="240" w:lineRule="auto"/>
      <w:textAlignment w:val="auto"/>
      <w:outlineLvl w:val="9"/>
    </w:pPr>
    <w:rPr>
      <w:rFonts w:ascii="宋体" w:hAnsi="宋体" w:eastAsia="宋体"/>
      <w:color w:val="008000"/>
      <w:kern w:val="2"/>
      <w:sz w:val="21"/>
      <w:szCs w:val="21"/>
      <w:lang w:val="en-US"/>
    </w:rPr>
  </w:style>
  <w:style w:type="paragraph" w:customStyle="1" w:styleId="651">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653">
    <w:name w:val="附图居中"/>
    <w:basedOn w:val="1"/>
    <w:next w:val="1"/>
    <w:qFormat/>
    <w:uiPriority w:val="0"/>
    <w:pPr>
      <w:keepNext/>
      <w:jc w:val="center"/>
    </w:pPr>
    <w:rPr>
      <w:szCs w:val="20"/>
    </w:rPr>
  </w:style>
  <w:style w:type="paragraph" w:customStyle="1" w:styleId="654">
    <w:name w:val="xl39"/>
    <w:basedOn w:val="1"/>
    <w:qFormat/>
    <w:uiPriority w:val="0"/>
    <w:pPr>
      <w:widowControl/>
      <w:spacing w:before="100" w:beforeAutospacing="1" w:after="100" w:afterAutospacing="1"/>
      <w:jc w:val="right"/>
    </w:pPr>
    <w:rPr>
      <w:rFonts w:hint="eastAsia" w:ascii="宋体" w:hAnsi="宋体"/>
      <w:kern w:val="0"/>
      <w:sz w:val="22"/>
      <w:szCs w:val="22"/>
    </w:rPr>
  </w:style>
  <w:style w:type="paragraph" w:customStyle="1" w:styleId="655">
    <w:name w:val="文二"/>
    <w:basedOn w:val="1"/>
    <w:qFormat/>
    <w:uiPriority w:val="0"/>
    <w:pPr>
      <w:jc w:val="left"/>
    </w:pPr>
    <w:rPr>
      <w:rFonts w:ascii="宋体" w:hAnsi="宋体"/>
      <w:szCs w:val="21"/>
    </w:rPr>
  </w:style>
  <w:style w:type="paragraph" w:customStyle="1" w:styleId="6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57">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658">
    <w:name w:val="封一"/>
    <w:basedOn w:val="589"/>
    <w:next w:val="589"/>
    <w:qFormat/>
    <w:uiPriority w:val="0"/>
    <w:pPr>
      <w:ind w:firstLine="0" w:firstLineChars="0"/>
      <w:jc w:val="center"/>
    </w:pPr>
    <w:rPr>
      <w:rFonts w:eastAsia="黑体"/>
      <w:b/>
      <w:kern w:val="2"/>
      <w:sz w:val="84"/>
      <w:szCs w:val="84"/>
    </w:rPr>
  </w:style>
  <w:style w:type="paragraph" w:customStyle="1" w:styleId="659">
    <w:name w:val="样式 样式 标题 2 + 首行缩进:  0.74 厘米 + 首行缩进:  0 厘米"/>
    <w:basedOn w:val="618"/>
    <w:qFormat/>
    <w:uiPriority w:val="0"/>
    <w:pPr>
      <w:ind w:firstLine="0"/>
    </w:pPr>
    <w:rPr>
      <w:rFonts w:ascii="宋体" w:eastAsia="宋体"/>
      <w:color w:val="000000"/>
      <w:kern w:val="0"/>
    </w:rPr>
  </w:style>
  <w:style w:type="paragraph" w:customStyle="1" w:styleId="6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661">
    <w:name w:val="14"/>
    <w:basedOn w:val="1"/>
    <w:qFormat/>
    <w:uiPriority w:val="0"/>
    <w:pPr>
      <w:widowControl/>
      <w:spacing w:after="160" w:line="240" w:lineRule="exact"/>
      <w:jc w:val="left"/>
    </w:pPr>
    <w:rPr>
      <w:szCs w:val="20"/>
    </w:rPr>
  </w:style>
  <w:style w:type="paragraph" w:customStyle="1" w:styleId="662">
    <w:name w:val="样式 左侧:  0 厘米 悬挂缩进: 2.5 字符"/>
    <w:basedOn w:val="1"/>
    <w:qFormat/>
    <w:uiPriority w:val="0"/>
    <w:pPr>
      <w:ind w:left="525" w:hanging="525" w:hangingChars="250"/>
    </w:pPr>
    <w:rPr>
      <w:szCs w:val="20"/>
    </w:rPr>
  </w:style>
  <w:style w:type="paragraph" w:customStyle="1" w:styleId="663">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64">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665">
    <w:name w:val="样式 正文缩进 + 首行缩进:  2 字符"/>
    <w:basedOn w:val="4"/>
    <w:qFormat/>
    <w:uiPriority w:val="0"/>
    <w:pPr>
      <w:spacing w:line="360" w:lineRule="auto"/>
      <w:ind w:firstLine="480"/>
    </w:pPr>
    <w:rPr>
      <w:sz w:val="24"/>
      <w:szCs w:val="20"/>
      <w:lang w:val="en-US"/>
    </w:rPr>
  </w:style>
  <w:style w:type="paragraph" w:customStyle="1" w:styleId="666">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667">
    <w:name w:val="表头"/>
    <w:basedOn w:val="1"/>
    <w:qFormat/>
    <w:uiPriority w:val="0"/>
    <w:pPr>
      <w:spacing w:line="360" w:lineRule="auto"/>
      <w:jc w:val="center"/>
    </w:pPr>
    <w:rPr>
      <w:rFonts w:ascii="黑体" w:eastAsia="黑体"/>
      <w:kern w:val="0"/>
      <w:sz w:val="24"/>
      <w:szCs w:val="20"/>
    </w:rPr>
  </w:style>
  <w:style w:type="paragraph" w:customStyle="1" w:styleId="668">
    <w:name w:val="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69">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670">
    <w:name w:val="Char Char Char Char Char Char Char Char Char Char Char Char Char"/>
    <w:basedOn w:val="22"/>
    <w:qFormat/>
    <w:uiPriority w:val="0"/>
    <w:rPr>
      <w:szCs w:val="20"/>
      <w:lang w:val="en-US"/>
    </w:rPr>
  </w:style>
  <w:style w:type="paragraph" w:customStyle="1" w:styleId="671">
    <w:name w:val="样式2"/>
    <w:basedOn w:val="7"/>
    <w:qFormat/>
    <w:uiPriority w:val="0"/>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672">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3">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4">
    <w:name w:val="2册标题2"/>
    <w:basedOn w:val="1"/>
    <w:next w:val="1"/>
    <w:qFormat/>
    <w:uiPriority w:val="0"/>
    <w:pPr>
      <w:tabs>
        <w:tab w:val="left" w:pos="900"/>
        <w:tab w:val="left" w:pos="1421"/>
      </w:tabs>
      <w:spacing w:beforeLines="50" w:afterLines="50"/>
      <w:ind w:left="1421" w:hanging="420"/>
      <w:outlineLvl w:val="1"/>
    </w:pPr>
    <w:rPr>
      <w:rFonts w:ascii="Arial" w:hAnsi="Arial" w:eastAsia="黑体"/>
      <w:sz w:val="30"/>
      <w:szCs w:val="30"/>
    </w:rPr>
  </w:style>
  <w:style w:type="paragraph" w:customStyle="1" w:styleId="675">
    <w:name w:val="正3"/>
    <w:basedOn w:val="1"/>
    <w:qFormat/>
    <w:uiPriority w:val="0"/>
    <w:pPr>
      <w:spacing w:before="120" w:line="360" w:lineRule="auto"/>
      <w:jc w:val="left"/>
    </w:pPr>
    <w:rPr>
      <w:b/>
      <w:sz w:val="28"/>
      <w:szCs w:val="20"/>
    </w:rPr>
  </w:style>
  <w:style w:type="paragraph" w:customStyle="1" w:styleId="676">
    <w:name w:val="Char Char Char Char Char Char Char Char Char Char Char Char Char1"/>
    <w:basedOn w:val="22"/>
    <w:qFormat/>
    <w:uiPriority w:val="0"/>
    <w:rPr>
      <w:szCs w:val="20"/>
      <w:lang w:val="en-US"/>
    </w:rPr>
  </w:style>
  <w:style w:type="paragraph" w:customStyle="1" w:styleId="677">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678">
    <w:name w:val="发文落款"/>
    <w:basedOn w:val="656"/>
    <w:qFormat/>
    <w:uiPriority w:val="0"/>
    <w:pPr>
      <w:ind w:left="4094" w:right="607" w:firstLine="0"/>
      <w:jc w:val="center"/>
    </w:pPr>
  </w:style>
  <w:style w:type="paragraph" w:customStyle="1" w:styleId="679">
    <w:name w:val="样式 标题 3H3l3CTh33rd levelLevel 3 HeadHeading 3 - oldISO2..."/>
    <w:basedOn w:val="5"/>
    <w:qFormat/>
    <w:uiPriority w:val="0"/>
    <w:pPr>
      <w:keepNext w:val="0"/>
      <w:keepLines w:val="0"/>
      <w:spacing w:before="0" w:after="0" w:line="360" w:lineRule="auto"/>
      <w:ind w:left="737" w:hanging="539"/>
    </w:pPr>
    <w:rPr>
      <w:rFonts w:ascii="宋体" w:hAnsi="宋体"/>
      <w:bCs w:val="0"/>
      <w:sz w:val="24"/>
      <w:szCs w:val="20"/>
      <w:lang w:val="en-US"/>
    </w:rPr>
  </w:style>
  <w:style w:type="paragraph" w:customStyle="1" w:styleId="680">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681">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szCs w:val="20"/>
    </w:rPr>
  </w:style>
  <w:style w:type="paragraph" w:customStyle="1" w:styleId="682">
    <w:name w:val="自标题3"/>
    <w:basedOn w:val="1"/>
    <w:qFormat/>
    <w:uiPriority w:val="0"/>
    <w:rPr>
      <w:lang w:bidi="he-IL"/>
    </w:rPr>
  </w:style>
  <w:style w:type="paragraph" w:customStyle="1" w:styleId="683">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684">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85">
    <w:name w:val="保留正文"/>
    <w:basedOn w:val="17"/>
    <w:qFormat/>
    <w:uiPriority w:val="0"/>
    <w:pPr>
      <w:keepNext/>
      <w:spacing w:after="160"/>
    </w:pPr>
    <w:rPr>
      <w:rFonts w:ascii="Times New Roman" w:hAnsi="Times New Roman"/>
      <w:color w:val="auto"/>
    </w:rPr>
  </w:style>
  <w:style w:type="paragraph" w:customStyle="1" w:styleId="68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7">
    <w:name w:val="封三"/>
    <w:basedOn w:val="589"/>
    <w:next w:val="589"/>
    <w:qFormat/>
    <w:uiPriority w:val="0"/>
    <w:pPr>
      <w:ind w:firstLine="0" w:firstLineChars="0"/>
      <w:jc w:val="center"/>
    </w:pPr>
    <w:rPr>
      <w:kern w:val="2"/>
      <w:sz w:val="30"/>
    </w:rPr>
  </w:style>
  <w:style w:type="paragraph" w:customStyle="1" w:styleId="688">
    <w:name w:val="默认段落字体 Para Char Char Char Char Char Char Char Char Char1 Char Char Char Char Char Char Char Char Char Char"/>
    <w:basedOn w:val="22"/>
    <w:qFormat/>
    <w:uiPriority w:val="0"/>
    <w:pPr>
      <w:ind w:firstLine="540" w:firstLineChars="225"/>
    </w:pPr>
    <w:rPr>
      <w:rFonts w:ascii="Tahoma" w:hAnsi="Tahoma"/>
      <w:sz w:val="24"/>
      <w:szCs w:val="20"/>
      <w:lang w:val="en-US"/>
    </w:rPr>
  </w:style>
  <w:style w:type="paragraph" w:customStyle="1" w:styleId="689">
    <w:name w:val="jyx2"/>
    <w:basedOn w:val="3"/>
    <w:next w:val="1"/>
    <w:qFormat/>
    <w:uiPriority w:val="0"/>
    <w:pPr>
      <w:keepNext w:val="0"/>
      <w:keepLines w:val="0"/>
      <w:autoSpaceDE/>
      <w:autoSpaceDN/>
      <w:adjustRightInd/>
      <w:snapToGrid w:val="0"/>
      <w:spacing w:before="120" w:after="120" w:line="360" w:lineRule="auto"/>
      <w:ind w:left="-250" w:leftChars="-250" w:hanging="475" w:hangingChars="125"/>
      <w:textAlignment w:val="auto"/>
      <w:outlineLvl w:val="0"/>
    </w:pPr>
    <w:rPr>
      <w:rFonts w:ascii="宋体" w:hAnsi="宋体" w:eastAsia="宋体"/>
      <w:b/>
      <w:color w:val="000000"/>
      <w:spacing w:val="30"/>
      <w:sz w:val="32"/>
      <w:lang w:val="en-US"/>
    </w:rPr>
  </w:style>
  <w:style w:type="paragraph" w:customStyle="1" w:styleId="690">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691">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69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693">
    <w:name w:val="_Style 3"/>
    <w:basedOn w:val="1"/>
    <w:qFormat/>
    <w:uiPriority w:val="0"/>
    <w:rPr>
      <w:rFonts w:ascii="Tahoma" w:hAnsi="Tahoma"/>
      <w:sz w:val="24"/>
      <w:szCs w:val="20"/>
    </w:rPr>
  </w:style>
  <w:style w:type="paragraph" w:customStyle="1" w:styleId="694">
    <w:name w:val="封四"/>
    <w:basedOn w:val="589"/>
    <w:next w:val="589"/>
    <w:qFormat/>
    <w:uiPriority w:val="0"/>
    <w:pPr>
      <w:jc w:val="left"/>
    </w:pPr>
    <w:rPr>
      <w:kern w:val="2"/>
      <w:sz w:val="30"/>
      <w:szCs w:val="30"/>
    </w:rPr>
  </w:style>
  <w:style w:type="paragraph" w:customStyle="1" w:styleId="695">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696">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697">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698">
    <w:name w:val="招标文件－表格用正文"/>
    <w:basedOn w:val="1"/>
    <w:qFormat/>
    <w:uiPriority w:val="0"/>
    <w:pPr>
      <w:spacing w:beforeLines="50" w:afterLines="50"/>
    </w:pPr>
    <w:rPr>
      <w:rFonts w:ascii="宋体" w:hAnsi="Courier New"/>
      <w:color w:val="000000"/>
      <w:sz w:val="24"/>
      <w:szCs w:val="20"/>
    </w:rPr>
  </w:style>
  <w:style w:type="paragraph" w:customStyle="1" w:styleId="699">
    <w:name w:val="Char3"/>
    <w:basedOn w:val="1"/>
    <w:qFormat/>
    <w:uiPriority w:val="0"/>
    <w:rPr>
      <w:rFonts w:ascii="Tahoma" w:hAnsi="Tahoma"/>
      <w:sz w:val="24"/>
      <w:szCs w:val="20"/>
    </w:rPr>
  </w:style>
  <w:style w:type="paragraph" w:customStyle="1" w:styleId="700">
    <w:name w:val="xl3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701">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7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03">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704">
    <w:name w:val="需求书2"/>
    <w:basedOn w:val="1"/>
    <w:qFormat/>
    <w:uiPriority w:val="0"/>
    <w:pPr>
      <w:tabs>
        <w:tab w:val="left" w:pos="630"/>
      </w:tabs>
      <w:spacing w:line="360" w:lineRule="auto"/>
    </w:pPr>
    <w:rPr>
      <w:rFonts w:ascii="宋体"/>
      <w:b/>
      <w:sz w:val="24"/>
    </w:rPr>
  </w:style>
  <w:style w:type="paragraph" w:customStyle="1" w:styleId="705">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06">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character" w:customStyle="1" w:styleId="707">
    <w:name w:val="font161"/>
    <w:basedOn w:val="63"/>
    <w:uiPriority w:val="0"/>
    <w:rPr>
      <w:rFonts w:hint="eastAsia" w:ascii="宋体" w:hAnsi="宋体" w:eastAsia="宋体" w:cs="宋体"/>
      <w:color w:val="000000"/>
      <w:sz w:val="22"/>
      <w:szCs w:val="22"/>
      <w:u w:val="none"/>
    </w:rPr>
  </w:style>
  <w:style w:type="character" w:customStyle="1" w:styleId="708">
    <w:name w:val="font151"/>
    <w:basedOn w:val="63"/>
    <w:qFormat/>
    <w:uiPriority w:val="0"/>
    <w:rPr>
      <w:rFonts w:hint="eastAsia" w:ascii="宋体" w:hAnsi="宋体" w:eastAsia="宋体" w:cs="宋体"/>
      <w:color w:val="000000"/>
      <w:sz w:val="22"/>
      <w:szCs w:val="22"/>
      <w:u w:val="none"/>
    </w:rPr>
  </w:style>
  <w:style w:type="paragraph" w:customStyle="1" w:styleId="709">
    <w:name w:val="Char Char1 Char Char Char Char Char Char Char Char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710">
    <w:name w:val="Char Char1 Char Char Char Char Char Char Char Char Char Char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11">
    <w:name w:val="Char Char210"/>
    <w:basedOn w:val="1"/>
    <w:qFormat/>
    <w:uiPriority w:val="0"/>
    <w:pPr>
      <w:spacing w:line="360" w:lineRule="auto"/>
    </w:pPr>
    <w:rPr>
      <w:rFonts w:ascii="Tahoma" w:hAnsi="Tahoma"/>
      <w:szCs w:val="21"/>
    </w:rPr>
  </w:style>
  <w:style w:type="paragraph" w:customStyle="1" w:styleId="712">
    <w:name w:val="列出段落2"/>
    <w:basedOn w:val="1"/>
    <w:qFormat/>
    <w:uiPriority w:val="34"/>
    <w:pPr>
      <w:ind w:firstLine="420" w:firstLineChars="200"/>
    </w:pPr>
    <w:rPr>
      <w:szCs w:val="20"/>
    </w:rPr>
  </w:style>
  <w:style w:type="paragraph" w:customStyle="1" w:styleId="713">
    <w:name w:val="Char Char Char Char4"/>
    <w:basedOn w:val="1"/>
    <w:qFormat/>
    <w:uiPriority w:val="0"/>
    <w:pPr>
      <w:spacing w:line="360" w:lineRule="auto"/>
      <w:ind w:left="2100" w:firstLine="420"/>
    </w:pPr>
    <w:rPr>
      <w:rFonts w:ascii="宋体" w:hAnsi="宋体"/>
      <w:b/>
      <w:color w:val="000000"/>
      <w:sz w:val="30"/>
      <w:szCs w:val="30"/>
    </w:rPr>
  </w:style>
  <w:style w:type="paragraph" w:customStyle="1" w:styleId="714">
    <w:name w:val="Char Char Char3"/>
    <w:basedOn w:val="1"/>
    <w:qFormat/>
    <w:uiPriority w:val="0"/>
    <w:rPr>
      <w:rFonts w:ascii="Tahoma" w:hAnsi="Tahoma"/>
      <w:sz w:val="24"/>
      <w:szCs w:val="20"/>
    </w:rPr>
  </w:style>
  <w:style w:type="paragraph" w:customStyle="1" w:styleId="715">
    <w:name w:val="TOC 标题2"/>
    <w:basedOn w:val="2"/>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716">
    <w:name w:val="Char Char1 Char Char Char Char2"/>
    <w:basedOn w:val="1"/>
    <w:qFormat/>
    <w:uiPriority w:val="0"/>
    <w:pPr>
      <w:spacing w:line="360" w:lineRule="auto"/>
      <w:ind w:left="2100" w:firstLine="420"/>
    </w:pPr>
    <w:rPr>
      <w:rFonts w:ascii="宋体" w:hAnsi="宋体"/>
      <w:b/>
      <w:color w:val="000000"/>
      <w:sz w:val="30"/>
      <w:szCs w:val="30"/>
    </w:rPr>
  </w:style>
  <w:style w:type="paragraph" w:customStyle="1" w:styleId="717">
    <w:name w:val="Char2 Char Char Char1 Char Char Char Char Char Char Char Char1 Char1 Char Char1 Char2"/>
    <w:basedOn w:val="1"/>
    <w:qFormat/>
    <w:uiPriority w:val="0"/>
    <w:pPr>
      <w:spacing w:line="360" w:lineRule="auto"/>
    </w:pPr>
    <w:rPr>
      <w:rFonts w:ascii="Tahoma" w:hAnsi="Tahoma"/>
      <w:szCs w:val="21"/>
    </w:rPr>
  </w:style>
  <w:style w:type="paragraph" w:customStyle="1" w:styleId="718">
    <w:name w:val="Char Char1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19">
    <w:name w:val="Char Char61"/>
    <w:basedOn w:val="1"/>
    <w:qFormat/>
    <w:uiPriority w:val="0"/>
    <w:pPr>
      <w:spacing w:line="360" w:lineRule="auto"/>
      <w:ind w:left="2100" w:firstLine="420"/>
    </w:pPr>
    <w:rPr>
      <w:rFonts w:ascii="宋体" w:hAnsi="宋体"/>
      <w:b/>
      <w:color w:val="000000"/>
      <w:sz w:val="30"/>
      <w:szCs w:val="30"/>
    </w:rPr>
  </w:style>
  <w:style w:type="paragraph" w:customStyle="1" w:styleId="720">
    <w:name w:val="wordsection1"/>
    <w:basedOn w:val="1"/>
    <w:qFormat/>
    <w:uiPriority w:val="99"/>
    <w:pPr>
      <w:widowControl/>
      <w:jc w:val="left"/>
    </w:pPr>
    <w:rPr>
      <w:rFonts w:ascii="宋体" w:hAnsi="宋体" w:cs="宋体"/>
      <w:kern w:val="0"/>
      <w:sz w:val="24"/>
    </w:rPr>
  </w:style>
  <w:style w:type="paragraph" w:customStyle="1" w:styleId="721">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722">
    <w:name w:val="chenqin1"/>
    <w:semiHidden/>
    <w:qFormat/>
    <w:uiPriority w:val="0"/>
    <w:rPr>
      <w:rFonts w:ascii="Arial" w:hAnsi="Arial" w:eastAsia="宋体" w:cs="Arial"/>
      <w:color w:val="auto"/>
      <w:sz w:val="18"/>
      <w:szCs w:val="20"/>
    </w:rPr>
  </w:style>
  <w:style w:type="paragraph" w:customStyle="1" w:styleId="723">
    <w:name w:val="字元 字元 Char Char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72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725">
    <w:name w:val="xl11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6">
    <w:name w:val="xl14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7">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28">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3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731">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32">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33">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4">
    <w:name w:val="xl14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5">
    <w:name w:val="正文文本 21"/>
    <w:basedOn w:val="1"/>
    <w:qFormat/>
    <w:uiPriority w:val="0"/>
    <w:pPr>
      <w:adjustRightInd w:val="0"/>
      <w:ind w:firstLine="552"/>
      <w:jc w:val="left"/>
      <w:textAlignment w:val="baseline"/>
    </w:pPr>
    <w:rPr>
      <w:rFonts w:ascii="宋体"/>
      <w:kern w:val="0"/>
      <w:sz w:val="28"/>
      <w:szCs w:val="20"/>
    </w:rPr>
  </w:style>
  <w:style w:type="paragraph" w:customStyle="1" w:styleId="736">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37">
    <w:name w:val="xl14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39">
    <w:name w:val="xl14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0">
    <w:name w:val="xl14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1">
    <w:name w:val="xl136"/>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742">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44">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74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47">
    <w:name w:val="xl135"/>
    <w:basedOn w:val="1"/>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4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0">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752">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4">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55">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7">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table" w:customStyle="1" w:styleId="758">
    <w:name w:val="网格型2"/>
    <w:basedOn w:val="7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59">
    <w:name w:val="正文文本 22"/>
    <w:basedOn w:val="1"/>
    <w:qFormat/>
    <w:uiPriority w:val="0"/>
    <w:pPr>
      <w:adjustRightInd w:val="0"/>
      <w:ind w:firstLine="420"/>
    </w:pPr>
    <w:rPr>
      <w:rFonts w:ascii="宋体"/>
      <w:kern w:val="0"/>
      <w:szCs w:val="20"/>
    </w:rPr>
  </w:style>
  <w:style w:type="paragraph" w:customStyle="1" w:styleId="760">
    <w:name w:val="Char Char Char Char Char Char Char Char Char Char Char Char Char Char Char Char Char Char Char Char Char Char Char Char Char Char Char Char Char Char Char"/>
    <w:basedOn w:val="1"/>
    <w:qFormat/>
    <w:uiPriority w:val="0"/>
    <w:pPr>
      <w:widowControl/>
      <w:jc w:val="left"/>
    </w:pPr>
    <w:rPr>
      <w:rFonts w:ascii="Futura Bk" w:hAnsi="Futura Bk"/>
      <w:kern w:val="0"/>
      <w:sz w:val="20"/>
      <w:szCs w:val="20"/>
      <w:lang w:val="en-GB" w:eastAsia="en-US"/>
    </w:rPr>
  </w:style>
  <w:style w:type="character" w:customStyle="1" w:styleId="761">
    <w:name w:val="注解（小四，楷体） Char"/>
    <w:link w:val="762"/>
    <w:locked/>
    <w:uiPriority w:val="0"/>
    <w:rPr>
      <w:rFonts w:ascii="楷体" w:hAnsi="楷体" w:eastAsia="楷体" w:cs="宋体"/>
      <w:sz w:val="24"/>
      <w:szCs w:val="24"/>
    </w:rPr>
  </w:style>
  <w:style w:type="paragraph" w:customStyle="1" w:styleId="762">
    <w:name w:val="注解（小四，楷体）"/>
    <w:basedOn w:val="1"/>
    <w:link w:val="761"/>
    <w:qFormat/>
    <w:uiPriority w:val="0"/>
    <w:pPr>
      <w:widowControl/>
      <w:contextualSpacing/>
      <w:jc w:val="left"/>
    </w:pPr>
    <w:rPr>
      <w:rFonts w:ascii="楷体" w:hAnsi="楷体" w:eastAsia="楷体" w:cs="宋体"/>
      <w:kern w:val="0"/>
      <w:sz w:val="24"/>
    </w:rPr>
  </w:style>
  <w:style w:type="character" w:customStyle="1" w:styleId="763">
    <w:name w:val="表格（小四，宋体） Char"/>
    <w:link w:val="764"/>
    <w:qFormat/>
    <w:locked/>
    <w:uiPriority w:val="0"/>
    <w:rPr>
      <w:rFonts w:ascii="宋体" w:hAnsi="宋体" w:cs="宋体"/>
      <w:sz w:val="24"/>
      <w:szCs w:val="24"/>
    </w:rPr>
  </w:style>
  <w:style w:type="paragraph" w:customStyle="1" w:styleId="764">
    <w:name w:val="表格（小四，宋体）"/>
    <w:basedOn w:val="1"/>
    <w:link w:val="763"/>
    <w:qFormat/>
    <w:uiPriority w:val="0"/>
    <w:pPr>
      <w:widowControl/>
      <w:contextualSpacing/>
      <w:jc w:val="left"/>
    </w:pPr>
    <w:rPr>
      <w:rFonts w:ascii="宋体" w:hAnsi="宋体" w:cs="宋体"/>
      <w:kern w:val="0"/>
      <w:sz w:val="24"/>
    </w:rPr>
  </w:style>
  <w:style w:type="character" w:customStyle="1" w:styleId="765">
    <w:name w:val="标题 2 Char1"/>
    <w:qFormat/>
    <w:locked/>
    <w:uiPriority w:val="9"/>
    <w:rPr>
      <w:rFonts w:ascii="Cambria" w:hAnsi="Cambria" w:cs="宋体"/>
      <w:b/>
      <w:bCs/>
      <w:sz w:val="28"/>
      <w:szCs w:val="32"/>
    </w:rPr>
  </w:style>
  <w:style w:type="character" w:customStyle="1" w:styleId="766">
    <w:name w:val="标题 3 Char1"/>
    <w:qFormat/>
    <w:locked/>
    <w:uiPriority w:val="9"/>
    <w:rPr>
      <w:rFonts w:ascii="宋体" w:hAnsi="宋体" w:cs="宋体"/>
      <w:b/>
      <w:bCs/>
      <w:sz w:val="28"/>
      <w:szCs w:val="32"/>
    </w:rPr>
  </w:style>
  <w:style w:type="paragraph" w:customStyle="1" w:styleId="767">
    <w:name w:val="Char Char Char Char Char Char1 Char"/>
    <w:basedOn w:val="1"/>
    <w:qFormat/>
    <w:uiPriority w:val="0"/>
    <w:pPr>
      <w:widowControl/>
      <w:jc w:val="left"/>
    </w:pPr>
    <w:rPr>
      <w:rFonts w:ascii="Futura Bk" w:hAnsi="Futura Bk"/>
      <w:kern w:val="0"/>
      <w:sz w:val="20"/>
      <w:szCs w:val="20"/>
      <w:lang w:val="en-GB" w:eastAsia="en-US"/>
    </w:rPr>
  </w:style>
  <w:style w:type="paragraph" w:customStyle="1" w:styleId="768">
    <w:name w:val="无间隔2"/>
    <w:link w:val="769"/>
    <w:qFormat/>
    <w:uiPriority w:val="1"/>
    <w:rPr>
      <w:rFonts w:ascii="Calibri" w:hAnsi="Calibri" w:eastAsia="宋体" w:cs="Times New Roman"/>
      <w:sz w:val="22"/>
      <w:szCs w:val="22"/>
      <w:lang w:val="en-US" w:eastAsia="zh-CN" w:bidi="ar-SA"/>
    </w:rPr>
  </w:style>
  <w:style w:type="character" w:customStyle="1" w:styleId="769">
    <w:name w:val="无间隔 Char"/>
    <w:link w:val="768"/>
    <w:qFormat/>
    <w:uiPriority w:val="1"/>
    <w:rPr>
      <w:rFonts w:ascii="Calibri" w:hAnsi="Calibri"/>
      <w:sz w:val="22"/>
      <w:szCs w:val="22"/>
    </w:rPr>
  </w:style>
  <w:style w:type="paragraph" w:customStyle="1" w:styleId="770">
    <w:name w:val="Char Char213"/>
    <w:basedOn w:val="1"/>
    <w:qFormat/>
    <w:uiPriority w:val="0"/>
    <w:pPr>
      <w:widowControl/>
      <w:spacing w:before="120" w:after="120" w:line="440" w:lineRule="exact"/>
      <w:jc w:val="left"/>
    </w:pPr>
    <w:rPr>
      <w:rFonts w:ascii="宋体" w:hAnsi="宋体"/>
      <w:kern w:val="0"/>
      <w:sz w:val="28"/>
      <w:szCs w:val="28"/>
    </w:rPr>
  </w:style>
  <w:style w:type="paragraph" w:customStyle="1" w:styleId="77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纯文本 New"/>
    <w:basedOn w:val="771"/>
    <w:uiPriority w:val="0"/>
    <w:rPr>
      <w:rFonts w:ascii="宋体" w:hAnsi="Courier New" w:cs="Courier New"/>
      <w:szCs w:val="21"/>
    </w:rPr>
  </w:style>
  <w:style w:type="paragraph" w:customStyle="1" w:styleId="774">
    <w:name w:val="标题 4 New"/>
    <w:basedOn w:val="771"/>
    <w:next w:val="1"/>
    <w:qFormat/>
    <w:uiPriority w:val="0"/>
    <w:pPr>
      <w:keepNext/>
      <w:keepLines/>
      <w:tabs>
        <w:tab w:val="left" w:pos="1680"/>
      </w:tabs>
      <w:spacing w:before="280" w:after="290" w:line="372" w:lineRule="auto"/>
      <w:ind w:left="1680" w:hanging="420"/>
      <w:outlineLvl w:val="3"/>
    </w:pPr>
    <w:rPr>
      <w:rFonts w:ascii="Arial" w:hAnsi="Arial" w:eastAsia="黑体"/>
      <w:b/>
      <w:sz w:val="28"/>
      <w:szCs w:val="20"/>
    </w:rPr>
  </w:style>
  <w:style w:type="paragraph" w:customStyle="1" w:styleId="77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7158</Words>
  <Characters>40807</Characters>
  <Lines>340</Lines>
  <Paragraphs>95</Paragraphs>
  <TotalTime>0</TotalTime>
  <ScaleCrop>false</ScaleCrop>
  <LinksUpToDate>false</LinksUpToDate>
  <CharactersWithSpaces>47870</CharactersWithSpaces>
  <Application>WPS Office_1.0.0.1330_F1E327BC-269C-435d-A152-05C5408002CA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2019-04-24T14:45:00Z</dcterms:created>
  <dc:creator>User</dc:creator>
  <cp:lastModifiedBy>magic</cp:lastModifiedBy>
  <cp:lastPrinted>2018-01-25T08:27:00Z</cp:lastPrinted>
  <dcterms:modified xsi:type="dcterms:W3CDTF">2019-05-01T13:21:44Z</dcterms:modified>
  <dc:title>广发银行股份有限公司（或XX分行）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2052-1.0.0.1330</vt:lpwstr>
  </property>
</Properties>
</file>