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技术应答</w:t>
      </w:r>
      <w:bookmarkStart w:id="0" w:name="_GoBack"/>
      <w:bookmarkEnd w:id="0"/>
    </w:p>
    <w:p>
      <w:pPr>
        <w:pStyle w:val="3"/>
      </w:pPr>
      <w:r>
        <w:t>1.1目录</w:t>
      </w:r>
    </w:p>
    <w:tbl>
      <w:tblPr>
        <w:tblStyle w:val="5"/>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2685"/>
        <w:gridCol w:w="2681"/>
        <w:gridCol w:w="2681"/>
      </w:tblGrid>
      <w:tr>
        <w:tblPrEx>
          <w:tblLayout w:type="fixed"/>
        </w:tblPrEx>
        <w:trPr>
          <w:trHeight w:val="20" w:hRule="atLeast"/>
          <w:jc w:val="center"/>
        </w:trPr>
        <w:tc>
          <w:tcPr>
            <w:tcW w:w="472" w:type="dxa"/>
            <w:vAlign w:val="center"/>
          </w:tcPr>
          <w:p>
            <w:pPr>
              <w:widowControl/>
              <w:jc w:val="center"/>
              <w:rPr>
                <w:rFonts w:ascii="宋体" w:hAnsi="宋体"/>
                <w:szCs w:val="21"/>
              </w:rPr>
            </w:pPr>
            <w:r>
              <w:rPr>
                <w:rFonts w:hint="default" w:ascii="宋体" w:hAnsi="宋体"/>
                <w:szCs w:val="21"/>
              </w:rPr>
              <w:t>1</w:t>
            </w:r>
          </w:p>
        </w:tc>
        <w:tc>
          <w:tcPr>
            <w:tcW w:w="2685" w:type="dxa"/>
            <w:shd w:val="clear" w:color="auto" w:fill="auto"/>
            <w:vAlign w:val="center"/>
          </w:tcPr>
          <w:p>
            <w:pPr>
              <w:widowControl/>
              <w:jc w:val="left"/>
              <w:rPr>
                <w:rFonts w:ascii="宋体" w:hAnsi="宋体"/>
                <w:bCs/>
                <w:szCs w:val="21"/>
                <w:highlight w:val="yellow"/>
              </w:rPr>
            </w:pPr>
            <w:r>
              <w:rPr>
                <w:rFonts w:hint="eastAsia" w:ascii="宋体" w:hAnsi="宋体" w:cs="宋体"/>
                <w:color w:val="C00000"/>
                <w:kern w:val="0"/>
                <w:sz w:val="22"/>
                <w:szCs w:val="22"/>
              </w:rPr>
              <w:t>过往典型案例质量</w:t>
            </w:r>
          </w:p>
        </w:tc>
        <w:tc>
          <w:tcPr>
            <w:tcW w:w="2681" w:type="dxa"/>
            <w:shd w:val="clear" w:color="000000" w:fill="FFFFFF"/>
            <w:vAlign w:val="center"/>
          </w:tcPr>
          <w:p>
            <w:pPr>
              <w:widowControl/>
              <w:jc w:val="left"/>
              <w:rPr>
                <w:rFonts w:hint="eastAsia" w:ascii="宋体" w:hAnsi="宋体" w:cs="宋体"/>
                <w:color w:val="C00000"/>
                <w:kern w:val="0"/>
                <w:sz w:val="22"/>
                <w:szCs w:val="22"/>
              </w:rPr>
            </w:pPr>
            <w:r>
              <w:rPr>
                <w:rFonts w:hint="eastAsia" w:ascii="宋体" w:hAnsi="宋体" w:cs="宋体"/>
                <w:kern w:val="0"/>
                <w:sz w:val="22"/>
                <w:szCs w:val="22"/>
              </w:rPr>
              <w:t>根据供应商介绍的过往典型案例，从案例所属行业与采购人的匹配度、案例预警手段有效性、舆情研判和分析准确度、案例处置结果等方面综合评定：</w:t>
            </w:r>
            <w:r>
              <w:rPr>
                <w:rFonts w:hint="eastAsia" w:ascii="宋体" w:hAnsi="宋体" w:cs="宋体"/>
                <w:kern w:val="0"/>
                <w:sz w:val="22"/>
                <w:szCs w:val="22"/>
              </w:rPr>
              <w:br w:type="textWrapping"/>
            </w:r>
            <w:r>
              <w:rPr>
                <w:rFonts w:hint="eastAsia" w:ascii="宋体" w:hAnsi="宋体" w:cs="宋体"/>
                <w:kern w:val="0"/>
                <w:sz w:val="22"/>
                <w:szCs w:val="22"/>
              </w:rPr>
              <w:t>优秀得5分，良好得3-4分，一般得1-2分，差得0分。</w:t>
            </w:r>
          </w:p>
        </w:tc>
        <w:tc>
          <w:tcPr>
            <w:tcW w:w="2681" w:type="dxa"/>
            <w:shd w:val="clear" w:color="000000" w:fill="FFFFFF"/>
            <w:vAlign w:val="center"/>
          </w:tcPr>
          <w:p>
            <w:pPr>
              <w:widowControl/>
              <w:jc w:val="left"/>
              <w:rPr>
                <w:rFonts w:hint="default" w:ascii="宋体" w:hAnsi="宋体" w:cs="宋体"/>
                <w:kern w:val="0"/>
                <w:sz w:val="22"/>
                <w:szCs w:val="22"/>
              </w:rPr>
            </w:pPr>
            <w:r>
              <w:rPr>
                <w:rFonts w:hint="default" w:ascii="宋体" w:hAnsi="宋体" w:cs="宋体"/>
                <w:kern w:val="0"/>
                <w:sz w:val="22"/>
                <w:szCs w:val="22"/>
              </w:rPr>
              <w:t>中信案例</w:t>
            </w:r>
          </w:p>
          <w:p>
            <w:pPr>
              <w:widowControl/>
              <w:jc w:val="left"/>
              <w:rPr>
                <w:rFonts w:hint="eastAsia" w:ascii="宋体" w:hAnsi="宋体" w:cs="宋体"/>
                <w:kern w:val="0"/>
                <w:sz w:val="22"/>
                <w:szCs w:val="22"/>
              </w:rPr>
            </w:pPr>
            <w:r>
              <w:rPr>
                <w:rFonts w:hint="default" w:ascii="宋体" w:hAnsi="宋体" w:cs="宋体"/>
                <w:kern w:val="0"/>
                <w:sz w:val="22"/>
                <w:szCs w:val="22"/>
              </w:rPr>
              <w:t>本文3.1</w:t>
            </w:r>
          </w:p>
        </w:tc>
      </w:tr>
      <w:tr>
        <w:tblPrEx>
          <w:tblLayout w:type="fixed"/>
        </w:tblPrEx>
        <w:trPr>
          <w:trHeight w:val="20" w:hRule="atLeast"/>
          <w:jc w:val="center"/>
        </w:trPr>
        <w:tc>
          <w:tcPr>
            <w:tcW w:w="472" w:type="dxa"/>
            <w:vAlign w:val="center"/>
          </w:tcPr>
          <w:p>
            <w:pPr>
              <w:widowControl/>
              <w:jc w:val="center"/>
              <w:rPr>
                <w:rFonts w:ascii="宋体" w:hAnsi="宋体"/>
                <w:szCs w:val="21"/>
              </w:rPr>
            </w:pPr>
            <w:r>
              <w:rPr>
                <w:rFonts w:hint="default" w:ascii="宋体" w:hAnsi="宋体"/>
                <w:szCs w:val="21"/>
              </w:rPr>
              <w:t>2</w:t>
            </w:r>
          </w:p>
        </w:tc>
        <w:tc>
          <w:tcPr>
            <w:tcW w:w="2685" w:type="dxa"/>
            <w:shd w:val="clear" w:color="000000" w:fill="FFFFFF"/>
            <w:vAlign w:val="center"/>
          </w:tcPr>
          <w:p>
            <w:pPr>
              <w:widowControl/>
              <w:jc w:val="left"/>
              <w:rPr>
                <w:rFonts w:ascii="宋体" w:hAnsi="宋体"/>
                <w:bCs/>
                <w:szCs w:val="21"/>
                <w:highlight w:val="yellow"/>
              </w:rPr>
            </w:pPr>
            <w:r>
              <w:rPr>
                <w:rFonts w:hint="eastAsia" w:ascii="宋体" w:hAnsi="宋体" w:cs="宋体"/>
                <w:color w:val="C00000"/>
                <w:kern w:val="0"/>
                <w:sz w:val="22"/>
                <w:szCs w:val="22"/>
              </w:rPr>
              <w:t>舆情监测报告质量</w:t>
            </w:r>
          </w:p>
        </w:tc>
        <w:tc>
          <w:tcPr>
            <w:tcW w:w="2681" w:type="dxa"/>
            <w:shd w:val="clear" w:color="000000" w:fill="FFFFFF"/>
            <w:vAlign w:val="center"/>
          </w:tcPr>
          <w:p>
            <w:pPr>
              <w:widowControl/>
              <w:jc w:val="left"/>
              <w:rPr>
                <w:rFonts w:hint="eastAsia" w:ascii="宋体" w:hAnsi="宋体" w:cs="宋体"/>
                <w:color w:val="C00000"/>
                <w:kern w:val="0"/>
                <w:sz w:val="22"/>
                <w:szCs w:val="22"/>
              </w:rPr>
            </w:pPr>
            <w:r>
              <w:rPr>
                <w:rFonts w:hint="eastAsia" w:ascii="宋体" w:hAnsi="宋体" w:cs="宋体"/>
                <w:color w:val="000000"/>
                <w:kern w:val="0"/>
                <w:sz w:val="22"/>
                <w:szCs w:val="22"/>
              </w:rPr>
              <w:t>考核供应商舆情监测媒体覆盖范围是否包括全国性及地方性媒体、监测到的报道与我行相关度是否较高、是否覆盖总分行新闻等方面综合评定：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优秀得5-6分，良好得3-4分，一般得1-2分，差得0分。</w:t>
            </w:r>
          </w:p>
        </w:tc>
        <w:tc>
          <w:tcPr>
            <w:tcW w:w="2681" w:type="dxa"/>
            <w:shd w:val="clear" w:color="000000" w:fill="FFFFFF"/>
            <w:vAlign w:val="center"/>
          </w:tcPr>
          <w:p>
            <w:pPr>
              <w:widowControl/>
              <w:jc w:val="left"/>
              <w:rPr>
                <w:rFonts w:hint="eastAsia" w:ascii="宋体" w:hAnsi="宋体" w:cs="宋体"/>
                <w:color w:val="000000"/>
                <w:kern w:val="0"/>
                <w:sz w:val="22"/>
                <w:szCs w:val="22"/>
              </w:rPr>
            </w:pPr>
            <w:r>
              <w:rPr>
                <w:rFonts w:hint="default" w:ascii="宋体" w:hAnsi="宋体" w:cs="宋体"/>
                <w:color w:val="000000"/>
                <w:kern w:val="0"/>
                <w:sz w:val="22"/>
                <w:szCs w:val="22"/>
              </w:rPr>
              <w:t>附件《</w:t>
            </w:r>
            <w:r>
              <w:rPr>
                <w:rFonts w:hint="eastAsia" w:ascii="宋体" w:hAnsi="宋体" w:cs="宋体"/>
                <w:color w:val="C00000"/>
                <w:kern w:val="0"/>
                <w:sz w:val="22"/>
                <w:szCs w:val="22"/>
              </w:rPr>
              <w:t>舆情监测报告质量</w:t>
            </w:r>
            <w:r>
              <w:rPr>
                <w:rFonts w:hint="default" w:ascii="宋体" w:hAnsi="宋体" w:cs="宋体"/>
                <w:color w:val="000000"/>
                <w:kern w:val="0"/>
                <w:sz w:val="22"/>
                <w:szCs w:val="22"/>
              </w:rPr>
              <w:t>》</w:t>
            </w:r>
          </w:p>
        </w:tc>
      </w:tr>
      <w:tr>
        <w:tblPrEx>
          <w:tblLayout w:type="fixed"/>
        </w:tblPrEx>
        <w:trPr>
          <w:trHeight w:val="20" w:hRule="atLeast"/>
          <w:jc w:val="center"/>
        </w:trPr>
        <w:tc>
          <w:tcPr>
            <w:tcW w:w="472" w:type="dxa"/>
            <w:vAlign w:val="center"/>
          </w:tcPr>
          <w:p>
            <w:pPr>
              <w:widowControl/>
              <w:jc w:val="center"/>
              <w:rPr>
                <w:rFonts w:ascii="宋体" w:hAnsi="宋体"/>
                <w:szCs w:val="21"/>
              </w:rPr>
            </w:pPr>
            <w:r>
              <w:rPr>
                <w:rFonts w:hint="default" w:ascii="宋体" w:hAnsi="宋体"/>
                <w:szCs w:val="21"/>
              </w:rPr>
              <w:t>3</w:t>
            </w:r>
          </w:p>
        </w:tc>
        <w:tc>
          <w:tcPr>
            <w:tcW w:w="2685" w:type="dxa"/>
            <w:shd w:val="clear" w:color="000000" w:fill="FFFFFF"/>
            <w:vAlign w:val="center"/>
          </w:tcPr>
          <w:p>
            <w:pPr>
              <w:widowControl/>
              <w:jc w:val="left"/>
              <w:rPr>
                <w:rFonts w:ascii="宋体" w:hAnsi="宋体"/>
                <w:szCs w:val="21"/>
              </w:rPr>
            </w:pPr>
            <w:r>
              <w:rPr>
                <w:rFonts w:hint="eastAsia" w:ascii="宋体" w:hAnsi="宋体" w:cs="宋体"/>
                <w:color w:val="C00000"/>
                <w:kern w:val="0"/>
                <w:sz w:val="22"/>
                <w:szCs w:val="22"/>
              </w:rPr>
              <w:t>舆情研判分析及同业舆情研判分析报告质量</w:t>
            </w:r>
          </w:p>
        </w:tc>
        <w:tc>
          <w:tcPr>
            <w:tcW w:w="2681" w:type="dxa"/>
            <w:shd w:val="clear" w:color="000000" w:fill="FFFFFF"/>
            <w:vAlign w:val="center"/>
          </w:tcPr>
          <w:p>
            <w:pPr>
              <w:widowControl/>
              <w:jc w:val="left"/>
              <w:rPr>
                <w:rFonts w:hint="eastAsia" w:ascii="宋体" w:hAnsi="宋体" w:cs="宋体"/>
                <w:color w:val="C00000"/>
                <w:kern w:val="0"/>
                <w:sz w:val="22"/>
                <w:szCs w:val="22"/>
              </w:rPr>
            </w:pPr>
            <w:r>
              <w:rPr>
                <w:rFonts w:hint="eastAsia" w:ascii="宋体" w:hAnsi="宋体" w:cs="宋体"/>
                <w:color w:val="000000"/>
                <w:kern w:val="0"/>
                <w:sz w:val="22"/>
                <w:szCs w:val="22"/>
              </w:rPr>
              <w:t>考核供应商舆情监测媒体覆盖范围是否包括全国性及地方性媒体、监测到的报道与我行和同业相关度是否较高、对舆情的归纳和研判是否符合逻辑等方面综合评定：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优秀得5-6分，良好得3-4分，一般得1-2分，差得0分。</w:t>
            </w:r>
          </w:p>
        </w:tc>
        <w:tc>
          <w:tcPr>
            <w:tcW w:w="2681" w:type="dxa"/>
            <w:shd w:val="clear" w:color="000000" w:fill="FFFFFF"/>
            <w:vAlign w:val="center"/>
          </w:tcPr>
          <w:p>
            <w:pPr>
              <w:widowControl/>
              <w:jc w:val="left"/>
              <w:rPr>
                <w:rFonts w:hint="eastAsia" w:ascii="宋体" w:hAnsi="宋体" w:cs="宋体"/>
                <w:color w:val="000000"/>
                <w:kern w:val="0"/>
                <w:sz w:val="22"/>
                <w:szCs w:val="22"/>
              </w:rPr>
            </w:pPr>
            <w:r>
              <w:rPr>
                <w:rFonts w:hint="default" w:ascii="宋体" w:hAnsi="宋体" w:cs="宋体"/>
                <w:color w:val="000000"/>
                <w:kern w:val="0"/>
                <w:sz w:val="22"/>
                <w:szCs w:val="22"/>
              </w:rPr>
              <w:t>不做应答</w:t>
            </w:r>
          </w:p>
        </w:tc>
      </w:tr>
      <w:tr>
        <w:tblPrEx>
          <w:tblLayout w:type="fixed"/>
        </w:tblPrEx>
        <w:trPr>
          <w:trHeight w:val="20" w:hRule="atLeast"/>
          <w:jc w:val="center"/>
        </w:trPr>
        <w:tc>
          <w:tcPr>
            <w:tcW w:w="472" w:type="dxa"/>
            <w:vAlign w:val="center"/>
          </w:tcPr>
          <w:p>
            <w:pPr>
              <w:widowControl/>
              <w:jc w:val="center"/>
              <w:rPr>
                <w:rFonts w:hint="eastAsia" w:ascii="宋体" w:hAnsi="宋体"/>
                <w:szCs w:val="21"/>
              </w:rPr>
            </w:pPr>
            <w:r>
              <w:rPr>
                <w:rFonts w:hint="default" w:ascii="宋体" w:hAnsi="宋体"/>
                <w:szCs w:val="21"/>
              </w:rPr>
              <w:t>4</w:t>
            </w:r>
          </w:p>
        </w:tc>
        <w:tc>
          <w:tcPr>
            <w:tcW w:w="2685" w:type="dxa"/>
            <w:shd w:val="clear" w:color="auto" w:fill="auto"/>
            <w:vAlign w:val="center"/>
          </w:tcPr>
          <w:p>
            <w:pPr>
              <w:widowControl/>
              <w:jc w:val="left"/>
              <w:rPr>
                <w:rFonts w:hint="eastAsia" w:ascii="宋体" w:hAnsi="宋体"/>
                <w:szCs w:val="21"/>
              </w:rPr>
            </w:pPr>
            <w:r>
              <w:rPr>
                <w:rFonts w:hint="eastAsia" w:ascii="宋体" w:hAnsi="宋体" w:cs="宋体"/>
                <w:color w:val="C00000"/>
                <w:kern w:val="0"/>
                <w:sz w:val="22"/>
                <w:szCs w:val="22"/>
              </w:rPr>
              <w:t>舆情管理方式</w:t>
            </w:r>
          </w:p>
        </w:tc>
        <w:tc>
          <w:tcPr>
            <w:tcW w:w="2681" w:type="dxa"/>
            <w:shd w:val="clear" w:color="000000" w:fill="FFFFFF"/>
            <w:vAlign w:val="center"/>
          </w:tcPr>
          <w:p>
            <w:pPr>
              <w:widowControl/>
              <w:jc w:val="left"/>
              <w:rPr>
                <w:rFonts w:hint="eastAsia" w:ascii="宋体" w:hAnsi="宋体" w:cs="宋体"/>
                <w:color w:val="C00000"/>
                <w:kern w:val="0"/>
                <w:sz w:val="22"/>
                <w:szCs w:val="22"/>
              </w:rPr>
            </w:pPr>
            <w:r>
              <w:rPr>
                <w:rFonts w:hint="eastAsia" w:ascii="宋体" w:hAnsi="宋体" w:cs="宋体"/>
                <w:color w:val="000000"/>
                <w:kern w:val="0"/>
                <w:sz w:val="22"/>
                <w:szCs w:val="22"/>
              </w:rPr>
              <w:t>考核供应商在声誉管理平台（如微信号或微信群、软件系统、app）的实用性、便利性、及时性等方面综合评定：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优秀得3分，良好得2分，一般得1分，差得0分。</w:t>
            </w:r>
          </w:p>
        </w:tc>
        <w:tc>
          <w:tcPr>
            <w:tcW w:w="2681" w:type="dxa"/>
            <w:shd w:val="clear" w:color="000000" w:fill="FFFFFF"/>
            <w:vAlign w:val="center"/>
          </w:tcPr>
          <w:p>
            <w:pPr>
              <w:widowControl/>
              <w:jc w:val="left"/>
              <w:rPr>
                <w:rFonts w:hint="eastAsia" w:ascii="宋体" w:hAnsi="宋体" w:cs="宋体"/>
                <w:color w:val="000000"/>
                <w:kern w:val="0"/>
                <w:sz w:val="22"/>
                <w:szCs w:val="22"/>
              </w:rPr>
            </w:pPr>
            <w:r>
              <w:rPr>
                <w:rFonts w:hint="default" w:ascii="宋体" w:hAnsi="宋体" w:cs="宋体"/>
                <w:color w:val="000000"/>
                <w:kern w:val="0"/>
                <w:sz w:val="22"/>
                <w:szCs w:val="22"/>
              </w:rPr>
              <w:t>说明文档，本文4.1</w:t>
            </w:r>
          </w:p>
        </w:tc>
      </w:tr>
    </w:tbl>
    <w:p>
      <w:pPr>
        <w:widowControl/>
        <w:jc w:val="center"/>
        <w:rPr>
          <w:rFonts w:hint="default" w:ascii="宋体" w:hAnsi="宋体"/>
          <w:szCs w:val="21"/>
        </w:rPr>
        <w:sectPr>
          <w:pgSz w:w="11906" w:h="16838"/>
          <w:pgMar w:top="1440" w:right="1800" w:bottom="1440" w:left="1800" w:header="851" w:footer="992" w:gutter="0"/>
          <w:cols w:space="425" w:num="1"/>
          <w:docGrid w:type="lines" w:linePitch="312" w:charSpace="0"/>
        </w:sectPr>
      </w:pPr>
    </w:p>
    <w:tbl>
      <w:tblPr>
        <w:tblStyle w:val="5"/>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2685"/>
        <w:gridCol w:w="2681"/>
        <w:gridCol w:w="2681"/>
      </w:tblGrid>
      <w:tr>
        <w:tblPrEx>
          <w:tblLayout w:type="fixed"/>
        </w:tblPrEx>
        <w:trPr>
          <w:trHeight w:val="20" w:hRule="atLeast"/>
          <w:jc w:val="center"/>
        </w:trPr>
        <w:tc>
          <w:tcPr>
            <w:tcW w:w="472" w:type="dxa"/>
            <w:vAlign w:val="center"/>
          </w:tcPr>
          <w:p>
            <w:pPr>
              <w:widowControl/>
              <w:jc w:val="center"/>
              <w:rPr>
                <w:rFonts w:hint="default" w:ascii="宋体" w:hAnsi="宋体"/>
                <w:szCs w:val="21"/>
              </w:rPr>
            </w:pPr>
            <w:r>
              <w:rPr>
                <w:rFonts w:hint="default" w:ascii="宋体" w:hAnsi="宋体"/>
                <w:szCs w:val="21"/>
              </w:rPr>
              <w:t>5</w:t>
            </w:r>
          </w:p>
        </w:tc>
        <w:tc>
          <w:tcPr>
            <w:tcW w:w="2685" w:type="dxa"/>
            <w:shd w:val="clear" w:color="auto" w:fill="auto"/>
            <w:vAlign w:val="center"/>
          </w:tcPr>
          <w:p>
            <w:pPr>
              <w:widowControl/>
              <w:jc w:val="left"/>
              <w:rPr>
                <w:rFonts w:hint="eastAsia" w:ascii="宋体" w:hAnsi="宋体"/>
                <w:szCs w:val="21"/>
              </w:rPr>
            </w:pPr>
            <w:r>
              <w:rPr>
                <w:rFonts w:hint="eastAsia" w:ascii="宋体" w:hAnsi="宋体" w:cs="宋体"/>
                <w:color w:val="C00000"/>
                <w:kern w:val="0"/>
                <w:sz w:val="22"/>
                <w:szCs w:val="22"/>
              </w:rPr>
              <w:t>考核验收要求满足度</w:t>
            </w:r>
          </w:p>
        </w:tc>
        <w:tc>
          <w:tcPr>
            <w:tcW w:w="2681" w:type="dxa"/>
            <w:shd w:val="clear" w:color="000000" w:fill="FFFFFF"/>
            <w:vAlign w:val="center"/>
          </w:tcPr>
          <w:p>
            <w:pPr>
              <w:widowControl/>
              <w:jc w:val="left"/>
              <w:rPr>
                <w:rFonts w:hint="eastAsia" w:ascii="宋体" w:hAnsi="宋体" w:cs="宋体"/>
                <w:color w:val="C00000"/>
                <w:kern w:val="0"/>
                <w:sz w:val="22"/>
                <w:szCs w:val="22"/>
              </w:rPr>
            </w:pPr>
            <w:r>
              <w:rPr>
                <w:rFonts w:hint="eastAsia" w:ascii="宋体" w:hAnsi="宋体" w:cs="宋体"/>
                <w:kern w:val="0"/>
                <w:sz w:val="22"/>
                <w:szCs w:val="22"/>
              </w:rPr>
              <w:t>对照用户需求书第六条全部内容，审核供应商的响应程度，完全响应得10分，一项负偏离扣2分，一条条款中多个差异算多项偏离，直至0分。</w:t>
            </w:r>
            <w:r>
              <w:rPr>
                <w:rFonts w:hint="eastAsia" w:ascii="宋体" w:hAnsi="宋体" w:cs="宋体"/>
                <w:kern w:val="0"/>
                <w:sz w:val="22"/>
                <w:szCs w:val="22"/>
              </w:rPr>
              <w:br w:type="textWrapping"/>
            </w:r>
            <w:r>
              <w:rPr>
                <w:rFonts w:hint="eastAsia" w:ascii="宋体" w:hAnsi="宋体" w:cs="宋体"/>
                <w:kern w:val="0"/>
                <w:sz w:val="22"/>
                <w:szCs w:val="22"/>
              </w:rPr>
              <w:t>本项目最高得10分，最低得0分。</w:t>
            </w:r>
          </w:p>
        </w:tc>
        <w:tc>
          <w:tcPr>
            <w:tcW w:w="2681" w:type="dxa"/>
            <w:shd w:val="clear" w:color="000000" w:fill="FFFFFF"/>
            <w:vAlign w:val="center"/>
          </w:tcPr>
          <w:p>
            <w:pPr>
              <w:widowControl/>
              <w:jc w:val="left"/>
              <w:rPr>
                <w:rFonts w:hint="eastAsia" w:ascii="宋体" w:hAnsi="宋体" w:cs="宋体"/>
                <w:kern w:val="0"/>
                <w:sz w:val="22"/>
                <w:szCs w:val="22"/>
              </w:rPr>
            </w:pPr>
            <w:r>
              <w:rPr>
                <w:rFonts w:hint="default" w:ascii="宋体" w:hAnsi="宋体" w:cs="宋体"/>
                <w:kern w:val="0"/>
                <w:sz w:val="22"/>
                <w:szCs w:val="22"/>
              </w:rPr>
              <w:t>说明文档，本文2.1</w:t>
            </w:r>
          </w:p>
        </w:tc>
      </w:tr>
      <w:tr>
        <w:tblPrEx>
          <w:tblLayout w:type="fixed"/>
        </w:tblPrEx>
        <w:trPr>
          <w:trHeight w:val="20" w:hRule="atLeast"/>
          <w:jc w:val="center"/>
        </w:trPr>
        <w:tc>
          <w:tcPr>
            <w:tcW w:w="472" w:type="dxa"/>
            <w:vAlign w:val="center"/>
          </w:tcPr>
          <w:p>
            <w:pPr>
              <w:widowControl/>
              <w:jc w:val="center"/>
              <w:rPr>
                <w:rFonts w:hint="default" w:ascii="宋体" w:hAnsi="宋体"/>
                <w:szCs w:val="21"/>
              </w:rPr>
            </w:pPr>
            <w:r>
              <w:rPr>
                <w:rFonts w:hint="default" w:ascii="宋体" w:hAnsi="宋体"/>
                <w:szCs w:val="21"/>
              </w:rPr>
              <w:t>6</w:t>
            </w:r>
          </w:p>
        </w:tc>
        <w:tc>
          <w:tcPr>
            <w:tcW w:w="2685" w:type="dxa"/>
            <w:shd w:val="clear" w:color="auto" w:fill="auto"/>
            <w:vAlign w:val="center"/>
          </w:tcPr>
          <w:p>
            <w:pPr>
              <w:widowControl/>
              <w:jc w:val="left"/>
              <w:rPr>
                <w:rFonts w:hint="eastAsia" w:ascii="宋体" w:hAnsi="宋体"/>
                <w:szCs w:val="21"/>
              </w:rPr>
            </w:pPr>
            <w:r>
              <w:rPr>
                <w:rFonts w:hint="eastAsia" w:ascii="宋体" w:hAnsi="宋体" w:cs="宋体"/>
                <w:kern w:val="0"/>
                <w:sz w:val="22"/>
                <w:szCs w:val="22"/>
              </w:rPr>
              <w:t>增值服务或合理化建议</w:t>
            </w:r>
          </w:p>
        </w:tc>
        <w:tc>
          <w:tcPr>
            <w:tcW w:w="2681" w:type="dxa"/>
            <w:shd w:val="clear" w:color="000000" w:fill="FFFFFF"/>
            <w:vAlign w:val="center"/>
          </w:tcPr>
          <w:p>
            <w:pPr>
              <w:widowControl/>
              <w:rPr>
                <w:rFonts w:hint="eastAsia" w:ascii="宋体" w:hAnsi="宋体" w:cs="宋体"/>
                <w:kern w:val="0"/>
                <w:sz w:val="22"/>
                <w:szCs w:val="22"/>
              </w:rPr>
            </w:pPr>
            <w:r>
              <w:rPr>
                <w:rFonts w:hint="eastAsia" w:ascii="宋体" w:hAnsi="宋体" w:cs="宋体"/>
                <w:color w:val="000000"/>
                <w:kern w:val="0"/>
                <w:sz w:val="22"/>
                <w:szCs w:val="22"/>
              </w:rPr>
              <w:t>考核供应商对本项目所可提供的增值服务承诺或合理化建议，每被项目评审委员会一致采纳的（意见差异时按少数服从多数投票决定），一条得1分，没有得0分。</w:t>
            </w:r>
          </w:p>
        </w:tc>
        <w:tc>
          <w:tcPr>
            <w:tcW w:w="2681" w:type="dxa"/>
            <w:shd w:val="clear" w:color="000000" w:fill="FFFFFF"/>
            <w:vAlign w:val="center"/>
          </w:tcPr>
          <w:p>
            <w:pPr>
              <w:widowControl/>
              <w:rPr>
                <w:rFonts w:hint="eastAsia" w:ascii="宋体" w:hAnsi="宋体" w:cs="宋体"/>
                <w:color w:val="000000"/>
                <w:kern w:val="0"/>
                <w:sz w:val="22"/>
                <w:szCs w:val="22"/>
              </w:rPr>
            </w:pPr>
            <w:r>
              <w:rPr>
                <w:rFonts w:hint="default" w:ascii="宋体" w:hAnsi="宋体" w:cs="宋体"/>
                <w:color w:val="000000"/>
                <w:kern w:val="0"/>
                <w:sz w:val="22"/>
                <w:szCs w:val="22"/>
              </w:rPr>
              <w:t>说明文档，本文5.1</w:t>
            </w:r>
          </w:p>
        </w:tc>
      </w:tr>
      <w:tr>
        <w:tblPrEx>
          <w:tblLayout w:type="fixed"/>
        </w:tblPrEx>
        <w:trPr>
          <w:trHeight w:val="90" w:hRule="atLeast"/>
          <w:jc w:val="center"/>
        </w:trPr>
        <w:tc>
          <w:tcPr>
            <w:tcW w:w="472" w:type="dxa"/>
            <w:vAlign w:val="center"/>
          </w:tcPr>
          <w:p>
            <w:pPr>
              <w:widowControl/>
              <w:jc w:val="center"/>
              <w:rPr>
                <w:rFonts w:hint="default" w:ascii="宋体" w:hAnsi="宋体"/>
                <w:szCs w:val="21"/>
              </w:rPr>
            </w:pPr>
            <w:r>
              <w:rPr>
                <w:rFonts w:hint="default" w:ascii="宋体" w:hAnsi="宋体"/>
                <w:szCs w:val="21"/>
              </w:rPr>
              <w:t>7</w:t>
            </w:r>
          </w:p>
        </w:tc>
        <w:tc>
          <w:tcPr>
            <w:tcW w:w="2685" w:type="dxa"/>
            <w:shd w:val="clear" w:color="auto" w:fill="auto"/>
            <w:vAlign w:val="center"/>
          </w:tcPr>
          <w:p>
            <w:pPr>
              <w:widowControl/>
              <w:jc w:val="left"/>
              <w:rPr>
                <w:rFonts w:hint="eastAsia" w:ascii="宋体" w:hAnsi="宋体" w:cs="宋体"/>
                <w:kern w:val="0"/>
                <w:sz w:val="22"/>
                <w:szCs w:val="22"/>
              </w:rPr>
            </w:pPr>
            <w:r>
              <w:rPr>
                <w:rFonts w:hint="default" w:ascii="宋体" w:hAnsi="宋体" w:cs="宋体"/>
                <w:kern w:val="0"/>
                <w:sz w:val="22"/>
                <w:szCs w:val="22"/>
              </w:rPr>
              <w:t>履约进度计划表</w:t>
            </w:r>
          </w:p>
        </w:tc>
        <w:tc>
          <w:tcPr>
            <w:tcW w:w="2681" w:type="dxa"/>
            <w:shd w:val="clear" w:color="000000" w:fill="FFFFFF"/>
            <w:vAlign w:val="center"/>
          </w:tcPr>
          <w:p>
            <w:pPr>
              <w:widowControl/>
              <w:rPr>
                <w:rFonts w:hint="eastAsia" w:ascii="宋体" w:hAnsi="宋体" w:cs="宋体"/>
                <w:color w:val="000000"/>
                <w:kern w:val="0"/>
                <w:sz w:val="22"/>
                <w:szCs w:val="22"/>
              </w:rPr>
            </w:pPr>
            <w:r>
              <w:rPr>
                <w:rFonts w:hint="default" w:ascii="宋体" w:hAnsi="宋体" w:cs="宋体"/>
                <w:color w:val="000000"/>
                <w:kern w:val="0"/>
                <w:sz w:val="22"/>
                <w:szCs w:val="22"/>
              </w:rPr>
              <w:t>必填</w:t>
            </w:r>
          </w:p>
        </w:tc>
        <w:tc>
          <w:tcPr>
            <w:tcW w:w="2681" w:type="dxa"/>
            <w:shd w:val="clear" w:color="000000" w:fill="FFFFFF"/>
            <w:vAlign w:val="center"/>
          </w:tcPr>
          <w:p>
            <w:pPr>
              <w:widowControl/>
              <w:rPr>
                <w:rFonts w:hint="default" w:ascii="宋体" w:hAnsi="宋体" w:cs="宋体"/>
                <w:color w:val="000000"/>
                <w:kern w:val="0"/>
                <w:sz w:val="22"/>
                <w:szCs w:val="22"/>
              </w:rPr>
            </w:pPr>
            <w:r>
              <w:rPr>
                <w:rFonts w:hint="default" w:ascii="宋体" w:hAnsi="宋体" w:cs="宋体"/>
                <w:color w:val="000000"/>
                <w:kern w:val="0"/>
                <w:sz w:val="22"/>
                <w:szCs w:val="22"/>
              </w:rPr>
              <w:t>说明文档，本文6.1</w:t>
            </w:r>
          </w:p>
        </w:tc>
      </w:tr>
    </w:tbl>
    <w:p/>
    <w:p>
      <w:pPr>
        <w:pStyle w:val="3"/>
      </w:pPr>
      <w:r>
        <w:t>2.1绩效考核表</w:t>
      </w:r>
    </w:p>
    <w:tbl>
      <w:tblPr>
        <w:tblStyle w:val="5"/>
        <w:tblW w:w="8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71"/>
        <w:gridCol w:w="3588"/>
        <w:gridCol w:w="3583"/>
      </w:tblGrid>
      <w:tr>
        <w:tblPrEx>
          <w:tblLayout w:type="fixed"/>
        </w:tblPrEx>
        <w:trPr>
          <w:trHeight w:val="2887" w:hRule="atLeast"/>
          <w:jc w:val="center"/>
        </w:trPr>
        <w:tc>
          <w:tcPr>
            <w:tcW w:w="882"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敏感舆情监测和预警</w:t>
            </w:r>
          </w:p>
        </w:tc>
        <w:tc>
          <w:tcPr>
            <w:tcW w:w="471" w:type="dxa"/>
            <w:tcBorders>
              <w:top w:val="single" w:color="auto" w:sz="4" w:space="0"/>
              <w:left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30%</w:t>
            </w:r>
          </w:p>
        </w:tc>
        <w:tc>
          <w:tcPr>
            <w:tcW w:w="3588"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1.全天候动态监测甲方相关舆情，发现负面敏感报道，5分钟内短信或微信通知甲方联系人，10分钟内发送敏感报道全文、链接、转载、阅读量等情况到甲方联系人邮箱。</w:t>
            </w:r>
          </w:p>
          <w:p>
            <w:pPr>
              <w:rPr>
                <w:rFonts w:ascii="宋体" w:hAnsi="宋体"/>
                <w:szCs w:val="21"/>
              </w:rPr>
            </w:pPr>
            <w:r>
              <w:rPr>
                <w:rFonts w:hint="eastAsia" w:ascii="宋体" w:hAnsi="宋体"/>
                <w:szCs w:val="21"/>
              </w:rPr>
              <w:t>2.发生敏感危机时，30分钟内提供详细舆情监测报告，提出处置策略，并根据舆情处理机制形成各类专项报告进行定期汇报。发生舆情升级时，同步电话、短信、微信等多途径及时汇报。</w:t>
            </w:r>
          </w:p>
          <w:p>
            <w:pPr>
              <w:rPr>
                <w:rFonts w:ascii="宋体" w:hAnsi="宋体"/>
                <w:szCs w:val="21"/>
              </w:rPr>
            </w:pPr>
            <w:r>
              <w:rPr>
                <w:rFonts w:hint="eastAsia" w:ascii="宋体" w:hAnsi="宋体"/>
                <w:szCs w:val="21"/>
              </w:rPr>
              <w:t>上述2点，每出现一点不满足扣10分。</w:t>
            </w:r>
          </w:p>
          <w:p>
            <w:pPr>
              <w:rPr>
                <w:rFonts w:ascii="宋体" w:hAnsi="宋体"/>
                <w:szCs w:val="21"/>
              </w:rPr>
            </w:pPr>
            <w:r>
              <w:rPr>
                <w:rFonts w:ascii="宋体" w:hAnsi="宋体"/>
                <w:szCs w:val="21"/>
              </w:rPr>
              <w:t>3.</w:t>
            </w:r>
            <w:r>
              <w:rPr>
                <w:rFonts w:hint="eastAsia" w:ascii="宋体" w:hAnsi="宋体"/>
                <w:szCs w:val="21"/>
              </w:rPr>
              <w:t>负面舆情必须在媒体电子版原发后2小时内报告给甲方，超过2小时视为迟报，迟报每次扣</w:t>
            </w:r>
            <w:r>
              <w:rPr>
                <w:rFonts w:ascii="宋体" w:hAnsi="宋体"/>
                <w:szCs w:val="21"/>
              </w:rPr>
              <w:t>5分；超过</w:t>
            </w:r>
            <w:r>
              <w:rPr>
                <w:rFonts w:hint="eastAsia" w:ascii="宋体" w:hAnsi="宋体"/>
                <w:szCs w:val="21"/>
              </w:rPr>
              <w:t>4小时未报视为漏报，漏报每次扣10分</w:t>
            </w:r>
            <w:r>
              <w:rPr>
                <w:rFonts w:ascii="宋体" w:hAnsi="宋体"/>
                <w:szCs w:val="21"/>
              </w:rPr>
              <w:t>。</w:t>
            </w:r>
          </w:p>
        </w:tc>
        <w:tc>
          <w:tcPr>
            <w:tcW w:w="3583"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ascii="宋体" w:hAnsi="宋体"/>
                <w:szCs w:val="21"/>
              </w:rPr>
              <w:t>我们的小蜜蜂采集系统可以做到分钟级采集。触发报警模板自动化发送邮箱/微信/短信，延时不超过一分钟。</w:t>
            </w:r>
          </w:p>
        </w:tc>
      </w:tr>
      <w:tr>
        <w:tblPrEx>
          <w:tblLayout w:type="fixed"/>
        </w:tblPrEx>
        <w:trPr>
          <w:trHeight w:val="3382" w:hRule="atLeast"/>
          <w:jc w:val="center"/>
        </w:trPr>
        <w:tc>
          <w:tcPr>
            <w:tcW w:w="882"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常规监测和专项监测</w:t>
            </w:r>
          </w:p>
        </w:tc>
        <w:tc>
          <w:tcPr>
            <w:tcW w:w="471" w:type="dxa"/>
            <w:tcBorders>
              <w:top w:val="single" w:color="auto" w:sz="4" w:space="0"/>
              <w:left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35%</w:t>
            </w:r>
          </w:p>
        </w:tc>
        <w:tc>
          <w:tcPr>
            <w:tcW w:w="3588" w:type="dxa"/>
            <w:tcBorders>
              <w:top w:val="single" w:color="auto" w:sz="4" w:space="0"/>
              <w:left w:val="single" w:color="auto" w:sz="4" w:space="0"/>
              <w:right w:val="single" w:color="auto" w:sz="4" w:space="0"/>
            </w:tcBorders>
            <w:shd w:val="clear" w:color="auto" w:fill="auto"/>
            <w:vAlign w:val="center"/>
          </w:tcPr>
          <w:p>
            <w:pPr>
              <w:jc w:val="left"/>
              <w:rPr>
                <w:rFonts w:ascii="宋体" w:hAnsi="宋体"/>
                <w:szCs w:val="21"/>
              </w:rPr>
            </w:pPr>
            <w:r>
              <w:rPr>
                <w:rFonts w:hint="eastAsia" w:ascii="宋体" w:hAnsi="宋体"/>
                <w:szCs w:val="21"/>
              </w:rPr>
              <w:t>1.每日10:00前按甲方要求格式提供舆情监测日报和简析。</w:t>
            </w:r>
          </w:p>
          <w:p>
            <w:pPr>
              <w:jc w:val="left"/>
              <w:rPr>
                <w:rFonts w:ascii="宋体" w:hAnsi="宋体"/>
                <w:szCs w:val="21"/>
              </w:rPr>
            </w:pPr>
            <w:r>
              <w:rPr>
                <w:rFonts w:hint="eastAsia" w:ascii="宋体" w:hAnsi="宋体"/>
                <w:szCs w:val="21"/>
              </w:rPr>
              <w:t>2.每月结束后5个工作日内，提交上个月甲方在全国媒体的新闻电子剪报PPT汇总和Excel表。</w:t>
            </w:r>
          </w:p>
          <w:p>
            <w:pPr>
              <w:jc w:val="left"/>
              <w:rPr>
                <w:rFonts w:ascii="宋体" w:hAnsi="宋体"/>
                <w:szCs w:val="21"/>
              </w:rPr>
            </w:pPr>
            <w:r>
              <w:rPr>
                <w:rFonts w:hint="eastAsia" w:ascii="宋体" w:hAnsi="宋体"/>
                <w:szCs w:val="21"/>
              </w:rPr>
              <w:t>3.每月结束后5个工作日内，提供上个月甲方舆情研判和分析报告。</w:t>
            </w:r>
          </w:p>
          <w:p>
            <w:pPr>
              <w:jc w:val="left"/>
              <w:rPr>
                <w:rFonts w:ascii="宋体" w:hAnsi="宋体"/>
                <w:szCs w:val="21"/>
              </w:rPr>
            </w:pPr>
            <w:r>
              <w:rPr>
                <w:rFonts w:hint="eastAsia" w:ascii="宋体" w:hAnsi="宋体"/>
                <w:szCs w:val="21"/>
              </w:rPr>
              <w:t>4.每周（周五）、每月（最后三个工作日内），提交本周、本月同业舆情、监管动态等舆情分析、研判报告。</w:t>
            </w:r>
          </w:p>
          <w:p>
            <w:pPr>
              <w:ind w:left="420" w:hanging="420" w:hangingChars="200"/>
              <w:jc w:val="left"/>
              <w:rPr>
                <w:rFonts w:ascii="宋体" w:hAnsi="宋体"/>
                <w:szCs w:val="21"/>
              </w:rPr>
            </w:pPr>
            <w:r>
              <w:rPr>
                <w:rFonts w:hint="eastAsia" w:ascii="宋体" w:hAnsi="宋体"/>
                <w:szCs w:val="21"/>
              </w:rPr>
              <w:t>5.每半年度提交新闻策划工作表（银监会规定模板）。</w:t>
            </w:r>
          </w:p>
          <w:p>
            <w:pPr>
              <w:jc w:val="left"/>
              <w:rPr>
                <w:rFonts w:ascii="宋体" w:hAnsi="宋体"/>
                <w:szCs w:val="21"/>
              </w:rPr>
            </w:pPr>
            <w:r>
              <w:rPr>
                <w:rFonts w:hint="eastAsia" w:ascii="宋体" w:hAnsi="宋体"/>
                <w:szCs w:val="21"/>
              </w:rPr>
              <w:t>6.专题传播项目在项目结束后5个工作日内提交媒体发稿监测统计及电子剪报汇总。</w:t>
            </w:r>
          </w:p>
          <w:p>
            <w:pPr>
              <w:ind w:left="420" w:hanging="420" w:hangingChars="200"/>
              <w:jc w:val="left"/>
              <w:rPr>
                <w:rFonts w:ascii="宋体" w:hAnsi="宋体"/>
                <w:szCs w:val="21"/>
              </w:rPr>
            </w:pPr>
            <w:r>
              <w:rPr>
                <w:rFonts w:hint="eastAsia" w:ascii="宋体" w:hAnsi="宋体"/>
                <w:szCs w:val="21"/>
              </w:rPr>
              <w:t>7.及时响应甲方其它监测需求。</w:t>
            </w:r>
          </w:p>
          <w:p>
            <w:pPr>
              <w:ind w:left="420" w:hanging="420" w:hangingChars="200"/>
              <w:jc w:val="left"/>
              <w:rPr>
                <w:rFonts w:ascii="宋体" w:hAnsi="宋体"/>
                <w:szCs w:val="21"/>
              </w:rPr>
            </w:pPr>
            <w:r>
              <w:rPr>
                <w:rFonts w:hint="eastAsia" w:ascii="宋体" w:hAnsi="宋体"/>
                <w:szCs w:val="21"/>
              </w:rPr>
              <w:t>上述7点，每出现一点不满足扣5分。</w:t>
            </w:r>
          </w:p>
        </w:tc>
        <w:tc>
          <w:tcPr>
            <w:tcW w:w="3583" w:type="dxa"/>
            <w:tcBorders>
              <w:top w:val="single" w:color="auto" w:sz="4" w:space="0"/>
              <w:left w:val="single" w:color="auto" w:sz="4" w:space="0"/>
              <w:right w:val="single" w:color="auto" w:sz="4" w:space="0"/>
            </w:tcBorders>
            <w:shd w:val="clear" w:color="auto" w:fill="auto"/>
            <w:vAlign w:val="center"/>
          </w:tcPr>
          <w:p>
            <w:pPr>
              <w:ind w:left="420" w:hanging="420" w:hangingChars="200"/>
              <w:jc w:val="left"/>
              <w:rPr>
                <w:rFonts w:hint="default" w:ascii="宋体" w:hAnsi="宋体"/>
                <w:szCs w:val="21"/>
              </w:rPr>
            </w:pPr>
            <w:r>
              <w:rPr>
                <w:rFonts w:hint="default" w:ascii="宋体" w:hAnsi="宋体"/>
                <w:szCs w:val="21"/>
              </w:rPr>
              <w:t>日报和简析由日报模块自动生成，监控昨日新闻中出现的舆情分析，处理时间少于1分钟，在10:00准时提交。</w:t>
            </w:r>
          </w:p>
          <w:p>
            <w:pPr>
              <w:ind w:left="420" w:hanging="420" w:hangingChars="200"/>
              <w:jc w:val="left"/>
              <w:rPr>
                <w:rFonts w:hint="eastAsia" w:ascii="宋体" w:hAnsi="宋体"/>
                <w:szCs w:val="21"/>
              </w:rPr>
            </w:pPr>
          </w:p>
          <w:p>
            <w:pPr>
              <w:ind w:left="420" w:hanging="420" w:hangingChars="200"/>
              <w:jc w:val="left"/>
              <w:rPr>
                <w:rFonts w:hint="eastAsia" w:ascii="宋体" w:hAnsi="宋体"/>
                <w:szCs w:val="21"/>
              </w:rPr>
            </w:pPr>
            <w:r>
              <w:rPr>
                <w:rFonts w:hint="default" w:ascii="宋体" w:hAnsi="宋体"/>
                <w:szCs w:val="21"/>
              </w:rPr>
              <w:t>每周、每月的判研报告，由我方资深舆情处理人员进行处理。结合平台给出的BI结论准时提交</w:t>
            </w:r>
          </w:p>
        </w:tc>
      </w:tr>
      <w:tr>
        <w:tblPrEx>
          <w:tblLayout w:type="fixed"/>
        </w:tblPrEx>
        <w:trPr>
          <w:trHeight w:val="3402"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甲方自媒体监测</w:t>
            </w:r>
          </w:p>
        </w:tc>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ascii="宋体" w:hAnsi="宋体"/>
                <w:szCs w:val="21"/>
              </w:rPr>
              <w:t>15%</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监测甲方总分行各级机构设立的自媒体账号（备注：包括如总分行的微信公众号、微博等发布文章的相关统计数据，如阅读量、转发量、文章链接列表等），具体要求如下：</w:t>
            </w:r>
          </w:p>
          <w:p>
            <w:pPr>
              <w:jc w:val="left"/>
              <w:rPr>
                <w:rFonts w:ascii="宋体" w:hAnsi="宋体"/>
                <w:szCs w:val="21"/>
              </w:rPr>
            </w:pPr>
            <w:r>
              <w:rPr>
                <w:rFonts w:hint="eastAsia" w:ascii="宋体" w:hAnsi="宋体"/>
                <w:szCs w:val="21"/>
              </w:rPr>
              <w:t>1.总分行自媒体列表范围单个账号文章（视频）发布链接、阅读量、转发量、评论数日常监测。监测要求与标准与本文件《用户需求书》的第三点的内容相同。</w:t>
            </w:r>
          </w:p>
          <w:p>
            <w:pPr>
              <w:jc w:val="left"/>
              <w:rPr>
                <w:rFonts w:ascii="宋体" w:hAnsi="宋体"/>
                <w:szCs w:val="21"/>
              </w:rPr>
            </w:pPr>
            <w:r>
              <w:rPr>
                <w:rFonts w:hint="eastAsia" w:ascii="宋体" w:hAnsi="宋体"/>
                <w:szCs w:val="21"/>
              </w:rPr>
              <w:t>2.每半年提供总分行自媒体列表范围单个账号平均阅读量、转发量、评论数的统计。</w:t>
            </w:r>
          </w:p>
          <w:p>
            <w:r>
              <w:rPr>
                <w:rFonts w:hint="eastAsia" w:ascii="宋体" w:hAnsi="宋体"/>
                <w:szCs w:val="21"/>
              </w:rPr>
              <w:t>3.突发情况下，在30分钟内可在总分行自媒体列表范围内依据关键词锁定原始发布账号及发布链接。</w:t>
            </w:r>
          </w:p>
          <w:p>
            <w:pPr>
              <w:rPr>
                <w:rFonts w:ascii="宋体" w:hAnsi="宋体"/>
                <w:szCs w:val="21"/>
              </w:rPr>
            </w:pPr>
            <w:r>
              <w:rPr>
                <w:rFonts w:hint="eastAsia"/>
              </w:rPr>
              <w:t>扣分原则：上述3点，每出现1点不满足扣3分，最低得0分。</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default"/>
              </w:rPr>
              <w:t>通过采集“新榜”数据定位自媒体内容。这个渠道数据是可以完全满足自媒体监测需求的。</w:t>
            </w:r>
          </w:p>
        </w:tc>
      </w:tr>
      <w:tr>
        <w:tblPrEx>
          <w:tblLayout w:type="fixed"/>
        </w:tblPrEx>
        <w:trPr>
          <w:trHeight w:val="1268"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其他</w:t>
            </w:r>
          </w:p>
        </w:tc>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10%</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根据日常工作响应速度，处理效率，总体配合程度、工作成效以及其它按具体情况所提出的有效性、建设性服务与建议综合评定乙方的工作表现：</w:t>
            </w:r>
          </w:p>
          <w:p>
            <w:pPr>
              <w:rPr>
                <w:rFonts w:ascii="宋体" w:hAnsi="宋体"/>
                <w:szCs w:val="21"/>
              </w:rPr>
            </w:pPr>
            <w:r>
              <w:rPr>
                <w:rFonts w:hint="eastAsia"/>
              </w:rPr>
              <w:t>优秀得9-10分，良好得6-8分，一般得3-5分，较差得0-2分。</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default"/>
              </w:rPr>
              <w:t>通过自动采集系统的工作响应速度和处理效率，远远超过人工处理。</w:t>
            </w:r>
          </w:p>
        </w:tc>
      </w:tr>
      <w:tr>
        <w:tblPrEx>
          <w:tblLayout w:type="fixed"/>
        </w:tblPrEx>
        <w:trPr>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贵宾及私银客户监测服务</w:t>
            </w:r>
          </w:p>
        </w:tc>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10%</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按甲方零售业务条线要求，按时高质完成相关敏感舆情监测服务。每月1日与16日，在当天上午10点前提交当日前两周的监测报告。</w:t>
            </w:r>
          </w:p>
          <w:p>
            <w:pPr>
              <w:rPr>
                <w:rFonts w:ascii="宋体" w:hAnsi="宋体"/>
                <w:szCs w:val="21"/>
              </w:rPr>
            </w:pPr>
            <w:r>
              <w:rPr>
                <w:rFonts w:hint="eastAsia"/>
              </w:rPr>
              <w:t>扣分原则：每迟交一个小时（超过半小时按1个小时计）扣1分，最低得0分。</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default"/>
              </w:rPr>
              <w:t>通过自动采集系统的工作响应速度和处理效率，远远超过人工处理。</w:t>
            </w:r>
          </w:p>
        </w:tc>
      </w:tr>
    </w:tbl>
    <w:p>
      <w:pPr>
        <w:pStyle w:val="3"/>
      </w:pPr>
      <w:r>
        <w:t>3.1 中信案例</w:t>
      </w:r>
    </w:p>
    <w:p>
      <w:pPr>
        <w:ind w:firstLine="420" w:firstLineChars="0"/>
        <w:rPr>
          <w:rFonts w:hint="eastAsia"/>
        </w:rPr>
      </w:pPr>
      <w:r>
        <w:rPr>
          <w:rFonts w:hint="eastAsia"/>
        </w:rPr>
        <w:t>通过高并发，大吞吐、稳定的自动化采集技术，帮助</w:t>
      </w:r>
      <w:r>
        <w:rPr>
          <w:rFonts w:hint="default"/>
        </w:rPr>
        <w:t>中</w:t>
      </w:r>
      <w:r>
        <w:rPr>
          <w:rFonts w:hint="eastAsia"/>
        </w:rPr>
        <w:t>信银行自动化的收集用</w:t>
      </w:r>
    </w:p>
    <w:p>
      <w:pPr>
        <w:rPr>
          <w:rFonts w:hint="eastAsia"/>
        </w:rPr>
      </w:pPr>
      <w:r>
        <w:rPr>
          <w:rFonts w:hint="eastAsia"/>
        </w:rPr>
        <w:t>户社保以及公积金信息，辅助风控部门决策。为银行提升40%的审核效率以及</w:t>
      </w:r>
    </w:p>
    <w:p>
      <w:pPr>
        <w:rPr>
          <w:rFonts w:hint="eastAsia"/>
        </w:rPr>
      </w:pPr>
      <w:r>
        <w:rPr>
          <w:rFonts w:hint="eastAsia"/>
        </w:rPr>
        <w:t>300%的核卡速度。</w:t>
      </w:r>
    </w:p>
    <w:p>
      <w:pPr>
        <w:ind w:firstLine="420" w:firstLineChars="0"/>
        <w:rPr>
          <w:rFonts w:hint="eastAsia"/>
        </w:rPr>
      </w:pPr>
      <w:r>
        <w:rPr>
          <w:rFonts w:hint="default"/>
        </w:rPr>
        <w:t>我们的主要实现了以下功能：</w:t>
      </w:r>
    </w:p>
    <w:p>
      <w:pPr>
        <w:spacing w:line="360" w:lineRule="auto"/>
        <w:ind w:firstLine="480" w:firstLineChars="200"/>
        <w:rPr>
          <w:rFonts w:ascii="宋体" w:hAnsi="宋体" w:eastAsia="宋体" w:cs="宋体"/>
          <w:b/>
          <w:kern w:val="0"/>
          <w:sz w:val="24"/>
        </w:rPr>
      </w:pPr>
      <w:r>
        <w:rPr>
          <w:rFonts w:hint="eastAsia" w:ascii="宋体" w:hAnsi="宋体" w:eastAsia="宋体" w:cs="宋体"/>
          <w:b/>
          <w:kern w:val="0"/>
          <w:sz w:val="24"/>
        </w:rPr>
        <w:t>（1）智能抓取社保信息。</w:t>
      </w:r>
    </w:p>
    <w:p>
      <w:pPr>
        <w:spacing w:line="360" w:lineRule="auto"/>
        <w:ind w:firstLine="600" w:firstLineChars="250"/>
        <w:rPr>
          <w:rFonts w:ascii="仿宋_GB2312" w:hAnsi="仿宋_GB2312" w:eastAsia="仿宋_GB2312"/>
          <w:sz w:val="24"/>
          <w:lang w:val="zh-CN"/>
        </w:rPr>
      </w:pPr>
      <w:r>
        <w:rPr>
          <w:rFonts w:hint="eastAsia" w:ascii="仿宋_GB2312" w:hAnsi="仿宋_GB2312" w:eastAsia="仿宋_GB2312"/>
          <w:sz w:val="24"/>
          <w:lang w:val="zh-CN"/>
        </w:rPr>
        <w:t>为优化销售端分中心社保专案进件流程，提升客户体验，同时减少审批端审核环节人工重复操作，提升审批自动化率，在销售前端充分告知客户获得客户授权的情况下，智能采集申请人社保信息（涉及全国各地社保网站）。</w:t>
      </w:r>
    </w:p>
    <w:p>
      <w:pPr>
        <w:numPr>
          <w:ilvl w:val="0"/>
          <w:numId w:val="1"/>
        </w:numPr>
        <w:spacing w:line="360" w:lineRule="auto"/>
        <w:ind w:firstLine="480" w:firstLineChars="200"/>
        <w:rPr>
          <w:rFonts w:ascii="宋体" w:hAnsi="宋体" w:eastAsia="宋体" w:cs="宋体"/>
          <w:b/>
          <w:kern w:val="0"/>
          <w:sz w:val="24"/>
        </w:rPr>
      </w:pPr>
      <w:r>
        <w:rPr>
          <w:rFonts w:hint="eastAsia" w:ascii="宋体" w:hAnsi="宋体" w:eastAsia="宋体" w:cs="宋体"/>
          <w:b/>
          <w:kern w:val="0"/>
          <w:sz w:val="24"/>
        </w:rPr>
        <w:t>定期清洗企业工商信息。</w:t>
      </w:r>
    </w:p>
    <w:p>
      <w:pPr>
        <w:spacing w:line="360" w:lineRule="auto"/>
        <w:ind w:firstLine="420" w:firstLineChars="0"/>
        <w:rPr>
          <w:rFonts w:ascii="仿宋_GB2312" w:hAnsi="仿宋_GB2312" w:eastAsia="仿宋_GB2312"/>
          <w:sz w:val="24"/>
          <w:lang w:val="zh-CN"/>
        </w:rPr>
      </w:pPr>
      <w:r>
        <w:rPr>
          <w:rFonts w:hint="eastAsia" w:ascii="仿宋_GB2312" w:hAnsi="仿宋_GB2312" w:eastAsia="仿宋_GB2312"/>
          <w:sz w:val="24"/>
          <w:lang w:val="zh-CN"/>
        </w:rPr>
        <w:t>目前，单位信息完整性及有效性在风险防控及效率提升中起着至关重要的作用。因此，信贷审批部在9月底上线了单位信息标准化需求，初步实现了单位信息标准化功能，为能保证单位信息数据的及时性和准确性，精准识别风险，需定期采集、清洗、更新、完善网络上单位相关信息（涉及</w:t>
      </w:r>
      <w:r>
        <w:rPr>
          <w:rFonts w:hint="default" w:ascii="仿宋_GB2312" w:hAnsi="仿宋_GB2312" w:eastAsia="仿宋_GB2312"/>
          <w:sz w:val="24"/>
        </w:rPr>
        <w:t>一些企业信息的</w:t>
      </w:r>
      <w:r>
        <w:rPr>
          <w:rFonts w:hint="eastAsia" w:ascii="仿宋_GB2312" w:hAnsi="仿宋_GB2312" w:eastAsia="仿宋_GB2312"/>
          <w:sz w:val="24"/>
          <w:lang w:val="zh-CN"/>
        </w:rPr>
        <w:t>网站）。</w:t>
      </w:r>
    </w:p>
    <w:p>
      <w:pPr>
        <w:numPr>
          <w:ilvl w:val="0"/>
          <w:numId w:val="2"/>
        </w:numPr>
        <w:spacing w:line="360" w:lineRule="auto"/>
        <w:ind w:firstLine="480" w:firstLineChars="200"/>
        <w:rPr>
          <w:rFonts w:ascii="宋体" w:hAnsi="宋体" w:eastAsia="宋体" w:cs="宋体"/>
          <w:b/>
          <w:kern w:val="0"/>
          <w:sz w:val="24"/>
        </w:rPr>
      </w:pPr>
      <w:r>
        <w:rPr>
          <w:rFonts w:hint="eastAsia" w:ascii="宋体" w:hAnsi="宋体" w:eastAsia="宋体" w:cs="宋体"/>
          <w:b/>
          <w:kern w:val="0"/>
          <w:sz w:val="24"/>
        </w:rPr>
        <w:t>业务环节网查信息。</w:t>
      </w:r>
    </w:p>
    <w:p>
      <w:pPr>
        <w:spacing w:line="360" w:lineRule="auto"/>
        <w:ind w:firstLine="420"/>
        <w:rPr>
          <w:rFonts w:ascii="仿宋_GB2312" w:hAnsi="仿宋_GB2312" w:eastAsia="仿宋_GB2312"/>
          <w:sz w:val="24"/>
          <w:lang w:val="zh-CN"/>
        </w:rPr>
      </w:pPr>
      <w:r>
        <w:rPr>
          <w:rFonts w:hint="eastAsia" w:ascii="仿宋_GB2312" w:hAnsi="仿宋_GB2312" w:eastAsia="仿宋_GB2312"/>
          <w:sz w:val="24"/>
          <w:lang w:val="zh-CN"/>
        </w:rPr>
        <w:t>当前审批流程中需各人工岗采集、处理大量的网查信息，如网查单位地址及电话等（涉及招聘类、地产类和团购类等网站）。</w:t>
      </w:r>
    </w:p>
    <w:p>
      <w:pPr>
        <w:ind w:firstLine="420" w:firstLineChars="0"/>
        <w:rPr>
          <w:rFonts w:hint="eastAsia"/>
        </w:rPr>
      </w:pPr>
      <w:r>
        <w:rPr>
          <w:rFonts w:hint="eastAsia" w:ascii="仿宋_GB2312" w:hAnsi="仿宋_GB2312" w:eastAsia="仿宋_GB2312"/>
          <w:sz w:val="24"/>
          <w:lang w:val="zh-CN"/>
        </w:rPr>
        <w:t>随着信息技术的飞速发展，在当前人工智能背景下，借助智能抓取技术，通过帮助各业务部门抓取所需要的网络数据信息，处理相关的业务需求，减少人工操作，降低人工成本，提升卡中心各业务部门的自动化率，提升客户体验，助力</w:t>
      </w:r>
      <w:r>
        <w:rPr>
          <w:rFonts w:hint="default" w:ascii="仿宋_GB2312" w:hAnsi="仿宋_GB2312" w:eastAsia="仿宋_GB2312"/>
          <w:sz w:val="24"/>
        </w:rPr>
        <w:t>中信信用卡</w:t>
      </w:r>
      <w:r>
        <w:rPr>
          <w:rFonts w:hint="eastAsia" w:ascii="仿宋_GB2312" w:hAnsi="仿宋_GB2312" w:eastAsia="仿宋_GB2312"/>
          <w:sz w:val="24"/>
          <w:lang w:val="zh-CN"/>
        </w:rPr>
        <w:t>卡中心“三年三倍增”的战略目标。</w:t>
      </w:r>
    </w:p>
    <w:p>
      <w:pPr>
        <w:pStyle w:val="3"/>
        <w:rPr>
          <w:rFonts w:hint="eastAsia"/>
        </w:rPr>
      </w:pPr>
      <w:r>
        <w:t>4.1</w:t>
      </w:r>
      <w:r>
        <w:rPr>
          <w:rFonts w:hint="eastAsia"/>
        </w:rPr>
        <w:t>舆情管理方式</w:t>
      </w:r>
    </w:p>
    <w:p>
      <w:pPr>
        <w:ind w:firstLine="420" w:firstLineChars="0"/>
        <w:rPr>
          <w:rFonts w:hint="eastAsia"/>
        </w:rPr>
      </w:pPr>
      <w:r>
        <w:rPr>
          <w:rFonts w:hint="default"/>
        </w:rPr>
        <w:t>舆情报告除了会有常用的excal版或者word版外，同时会有可以在网上传播的网页版，可以在微信、QQ、钉钉等渠道进行转发。可自定义加密转发或者非加密转发。可直接在微信、QQ、钉钉应用中打开文档并以合理结构预览显示。并可自定义销毁过期时间。</w:t>
      </w:r>
    </w:p>
    <w:p>
      <w:pPr>
        <w:pStyle w:val="3"/>
        <w:rPr>
          <w:rFonts w:hint="eastAsia"/>
        </w:rPr>
      </w:pPr>
      <w:r>
        <w:rPr>
          <w:rFonts w:hint="default"/>
        </w:rPr>
        <w:t xml:space="preserve">5.1 </w:t>
      </w:r>
      <w:r>
        <w:rPr>
          <w:rFonts w:hint="eastAsia"/>
        </w:rPr>
        <w:t>增值服务或合理化建议</w:t>
      </w:r>
    </w:p>
    <w:p>
      <w:pPr>
        <w:numPr>
          <w:numId w:val="0"/>
        </w:numPr>
        <w:ind w:left="420" w:leftChars="0" w:firstLine="420" w:firstLineChars="0"/>
      </w:pPr>
      <w:r>
        <w:t>解决舆情的本质问题是解决 舆情信息的渠道问题 和 舆情信息的数据清洗 两个问题。</w:t>
      </w:r>
    </w:p>
    <w:p>
      <w:pPr>
        <w:numPr>
          <w:ilvl w:val="0"/>
          <w:numId w:val="3"/>
        </w:numPr>
        <w:ind w:left="420" w:leftChars="0" w:firstLine="420" w:firstLineChars="0"/>
      </w:pPr>
      <w:r>
        <w:t>舆情信息的渠道问题：我们提供可以模版配置化的“小蜜蜂”采集系统并负责免费维护。在维护期内除已标明的采集渠道外，可增加合同中未约定的采集渠道，包括但不限于WEB网页、APP客户端，数量低于2个/每周（不可累加）（仅限没有验证码反爬逻辑+无需登陆的网页）。如果涉及到验证码反爬和需要登陆的网页，我们将会以优惠价格进行定制化二次开发接入服务。</w:t>
      </w:r>
    </w:p>
    <w:p>
      <w:pPr>
        <w:numPr>
          <w:ilvl w:val="0"/>
          <w:numId w:val="3"/>
        </w:numPr>
        <w:ind w:left="420" w:leftChars="0" w:firstLine="420" w:firstLineChars="0"/>
      </w:pPr>
      <w:r>
        <w:t>舆情信息的数据清洗问题：客户可以要求超过合同约定统计维度的其他数据，包括但不限于竞品的招聘数据、企业信息数据等。我们将会在合理的排期内免费解决。</w:t>
      </w:r>
    </w:p>
    <w:p>
      <w:pPr>
        <w:pStyle w:val="3"/>
        <w:rPr>
          <w:rFonts w:hint="eastAsia"/>
          <w:lang w:val="en-US"/>
        </w:rPr>
      </w:pPr>
      <w:r>
        <w:rPr>
          <w:rFonts w:hint="default"/>
        </w:rPr>
        <w:t>6</w:t>
      </w:r>
      <w:r>
        <w:rPr>
          <w:rFonts w:hint="default"/>
        </w:rPr>
        <w:t xml:space="preserve">.1 </w:t>
      </w:r>
      <w:r>
        <w:rPr>
          <w:rFonts w:hint="default"/>
        </w:rPr>
        <w:t>履约进度计划</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840"/>
        <w:gridCol w:w="2841"/>
        <w:gridCol w:w="2841"/>
      </w:tblGrid>
      <w:tr>
        <w:tblPrEx>
          <w:tblLayout w:type="fixed"/>
        </w:tblPrEx>
        <w:tc>
          <w:tcPr>
            <w:tcW w:w="2840" w:type="dxa"/>
          </w:tcPr>
          <w:p>
            <w:pPr>
              <w:numPr>
                <w:numId w:val="0"/>
              </w:numPr>
              <w:rPr>
                <w:vertAlign w:val="baseline"/>
              </w:rPr>
            </w:pPr>
            <w:r>
              <w:rPr>
                <w:vertAlign w:val="baseline"/>
              </w:rPr>
              <w:t>时间</w:t>
            </w:r>
          </w:p>
        </w:tc>
        <w:tc>
          <w:tcPr>
            <w:tcW w:w="2841" w:type="dxa"/>
          </w:tcPr>
          <w:p>
            <w:pPr>
              <w:numPr>
                <w:numId w:val="0"/>
              </w:numPr>
              <w:rPr>
                <w:vertAlign w:val="baseline"/>
              </w:rPr>
            </w:pPr>
            <w:r>
              <w:rPr>
                <w:vertAlign w:val="baseline"/>
              </w:rPr>
              <w:t>内容</w:t>
            </w:r>
          </w:p>
        </w:tc>
        <w:tc>
          <w:tcPr>
            <w:tcW w:w="2841" w:type="dxa"/>
          </w:tcPr>
          <w:p>
            <w:pPr>
              <w:numPr>
                <w:numId w:val="0"/>
              </w:numPr>
              <w:rPr>
                <w:vertAlign w:val="baseline"/>
              </w:rPr>
            </w:pPr>
            <w:r>
              <w:rPr>
                <w:vertAlign w:val="baseline"/>
              </w:rPr>
              <w:t>交付物</w:t>
            </w:r>
          </w:p>
        </w:tc>
      </w:tr>
      <w:tr>
        <w:tblPrEx>
          <w:tblLayout w:type="fixed"/>
        </w:tblPrEx>
        <w:tc>
          <w:tcPr>
            <w:tcW w:w="2840" w:type="dxa"/>
          </w:tcPr>
          <w:p>
            <w:pPr>
              <w:numPr>
                <w:numId w:val="0"/>
              </w:numPr>
              <w:rPr>
                <w:vertAlign w:val="baseline"/>
              </w:rPr>
            </w:pPr>
            <w:r>
              <w:rPr>
                <w:vertAlign w:val="baseline"/>
              </w:rPr>
              <w:t>0-5个工作日</w:t>
            </w:r>
          </w:p>
        </w:tc>
        <w:tc>
          <w:tcPr>
            <w:tcW w:w="2841" w:type="dxa"/>
          </w:tcPr>
          <w:p>
            <w:pPr>
              <w:numPr>
                <w:numId w:val="0"/>
              </w:numPr>
              <w:rPr>
                <w:vertAlign w:val="baseline"/>
              </w:rPr>
            </w:pPr>
            <w:r>
              <w:rPr>
                <w:vertAlign w:val="baseline"/>
              </w:rPr>
              <w:t>需求分析</w:t>
            </w:r>
          </w:p>
        </w:tc>
        <w:tc>
          <w:tcPr>
            <w:tcW w:w="2841" w:type="dxa"/>
          </w:tcPr>
          <w:p>
            <w:pPr>
              <w:numPr>
                <w:numId w:val="0"/>
              </w:numPr>
              <w:rPr>
                <w:vertAlign w:val="baseline"/>
              </w:rPr>
            </w:pPr>
            <w:r>
              <w:rPr>
                <w:vertAlign w:val="baseline"/>
              </w:rPr>
              <w:t>需求分析表</w:t>
            </w:r>
          </w:p>
        </w:tc>
      </w:tr>
      <w:tr>
        <w:tblPrEx>
          <w:tblLayout w:type="fixed"/>
        </w:tblPrEx>
        <w:tc>
          <w:tcPr>
            <w:tcW w:w="2840" w:type="dxa"/>
          </w:tcPr>
          <w:p>
            <w:pPr>
              <w:numPr>
                <w:numId w:val="0"/>
              </w:numPr>
              <w:rPr>
                <w:vertAlign w:val="baseline"/>
              </w:rPr>
            </w:pPr>
            <w:r>
              <w:rPr>
                <w:vertAlign w:val="baseline"/>
              </w:rPr>
              <w:t>6-21个工作日</w:t>
            </w:r>
          </w:p>
        </w:tc>
        <w:tc>
          <w:tcPr>
            <w:tcW w:w="2841" w:type="dxa"/>
          </w:tcPr>
          <w:p>
            <w:pPr>
              <w:numPr>
                <w:numId w:val="0"/>
              </w:numPr>
              <w:rPr>
                <w:vertAlign w:val="baseline"/>
              </w:rPr>
            </w:pPr>
            <w:r>
              <w:rPr>
                <w:vertAlign w:val="baseline"/>
              </w:rPr>
              <w:t>完成小蜜蜂采集平台部署、自动化舆情日报、</w:t>
            </w:r>
            <w:r>
              <w:rPr>
                <w:vertAlign w:val="baseline"/>
              </w:rPr>
              <w:t>舆情</w:t>
            </w:r>
            <w:r>
              <w:rPr>
                <w:vertAlign w:val="baseline"/>
              </w:rPr>
              <w:t>周报生成模块部署、推送模块部署、智能BI支撑模块四个模块部署。</w:t>
            </w:r>
          </w:p>
        </w:tc>
        <w:tc>
          <w:tcPr>
            <w:tcW w:w="2841" w:type="dxa"/>
          </w:tcPr>
          <w:p>
            <w:pPr>
              <w:numPr>
                <w:numId w:val="0"/>
              </w:numPr>
              <w:rPr>
                <w:vertAlign w:val="baseline"/>
              </w:rPr>
            </w:pPr>
            <w:r>
              <w:rPr>
                <w:vertAlign w:val="baseline"/>
              </w:rPr>
              <w:t>小蜜蜂采集平台</w:t>
            </w:r>
            <w:r>
              <w:rPr>
                <w:vertAlign w:val="baseline"/>
              </w:rPr>
              <w:t>系统</w:t>
            </w:r>
          </w:p>
          <w:p>
            <w:pPr>
              <w:numPr>
                <w:numId w:val="0"/>
              </w:numPr>
              <w:rPr>
                <w:vertAlign w:val="baseline"/>
              </w:rPr>
            </w:pPr>
            <w:r>
              <w:rPr>
                <w:vertAlign w:val="baseline"/>
              </w:rPr>
              <w:t>自动化舆情日报、舆情周报生成</w:t>
            </w:r>
            <w:r>
              <w:rPr>
                <w:vertAlign w:val="baseline"/>
              </w:rPr>
              <w:t>系统</w:t>
            </w:r>
          </w:p>
          <w:p>
            <w:pPr>
              <w:numPr>
                <w:numId w:val="0"/>
              </w:numPr>
              <w:rPr>
                <w:vertAlign w:val="baseline"/>
              </w:rPr>
            </w:pPr>
            <w:r>
              <w:rPr>
                <w:vertAlign w:val="baseline"/>
              </w:rPr>
              <w:t>（邮件、微信、短信）消息推送系统</w:t>
            </w:r>
          </w:p>
          <w:p>
            <w:pPr>
              <w:numPr>
                <w:numId w:val="0"/>
              </w:numPr>
              <w:rPr>
                <w:vertAlign w:val="baseline"/>
              </w:rPr>
            </w:pPr>
            <w:r>
              <w:rPr>
                <w:vertAlign w:val="baseline"/>
              </w:rPr>
              <w:t>智能BI分析支撑系统。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tcPr>
          <w:p>
            <w:pPr>
              <w:numPr>
                <w:numId w:val="0"/>
              </w:numPr>
              <w:rPr>
                <w:vertAlign w:val="baseline"/>
              </w:rPr>
            </w:pPr>
            <w:r>
              <w:rPr>
                <w:vertAlign w:val="baseline"/>
              </w:rPr>
              <w:t>6个工作日</w:t>
            </w:r>
          </w:p>
        </w:tc>
        <w:tc>
          <w:tcPr>
            <w:tcW w:w="2841" w:type="dxa"/>
          </w:tcPr>
          <w:p>
            <w:pPr>
              <w:numPr>
                <w:numId w:val="0"/>
              </w:numPr>
              <w:rPr>
                <w:vertAlign w:val="baseline"/>
              </w:rPr>
            </w:pPr>
            <w:r>
              <w:rPr>
                <w:vertAlign w:val="baseline"/>
              </w:rPr>
              <w:t>初级舆情分析师、高级舆情分析师就位，开始进行分析服务。按照需求要求进行舆情分析。</w:t>
            </w:r>
          </w:p>
        </w:tc>
        <w:tc>
          <w:tcPr>
            <w:tcW w:w="2841" w:type="dxa"/>
          </w:tcPr>
          <w:p>
            <w:pPr>
              <w:numPr>
                <w:numId w:val="0"/>
              </w:numPr>
              <w:rPr>
                <w:vertAlign w:val="baseline"/>
              </w:rPr>
            </w:pPr>
            <w:r>
              <w:rPr>
                <w:vertAlign w:val="baseline"/>
              </w:rPr>
              <w:t>舆情日报、舆情周报、舆情月报的出具。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tcPr>
          <w:p>
            <w:pPr>
              <w:numPr>
                <w:numId w:val="0"/>
              </w:numPr>
              <w:rPr>
                <w:vertAlign w:val="baseline"/>
              </w:rPr>
            </w:pPr>
            <w:r>
              <w:rPr>
                <w:vertAlign w:val="baseline"/>
              </w:rPr>
              <w:t>22-42个工作日</w:t>
            </w:r>
          </w:p>
        </w:tc>
        <w:tc>
          <w:tcPr>
            <w:tcW w:w="2841" w:type="dxa"/>
          </w:tcPr>
          <w:p>
            <w:pPr>
              <w:numPr>
                <w:numId w:val="0"/>
              </w:numPr>
              <w:rPr>
                <w:vertAlign w:val="baseline"/>
              </w:rPr>
            </w:pPr>
            <w:r>
              <w:rPr>
                <w:vertAlign w:val="baseline"/>
              </w:rPr>
              <w:t>系统试运行，根据实际场景做相关调整。</w:t>
            </w:r>
          </w:p>
        </w:tc>
        <w:tc>
          <w:tcPr>
            <w:tcW w:w="2841" w:type="dxa"/>
          </w:tcPr>
          <w:p>
            <w:pPr>
              <w:numPr>
                <w:numId w:val="0"/>
              </w:numPr>
              <w:rPr>
                <w:vertAlign w:val="baseline"/>
              </w:rPr>
            </w:pPr>
            <w:r>
              <w:rPr>
                <w:vertAlign w:val="baseline"/>
              </w:rPr>
              <w:t>系统正常运行，修改。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tcPr>
          <w:p>
            <w:pPr>
              <w:numPr>
                <w:numId w:val="0"/>
              </w:numPr>
              <w:rPr>
                <w:vertAlign w:val="baseline"/>
              </w:rPr>
            </w:pPr>
            <w:r>
              <w:rPr>
                <w:vertAlign w:val="baseline"/>
              </w:rPr>
              <w:t>22-合同服务期到</w:t>
            </w:r>
          </w:p>
        </w:tc>
        <w:tc>
          <w:tcPr>
            <w:tcW w:w="2841" w:type="dxa"/>
          </w:tcPr>
          <w:p>
            <w:pPr>
              <w:numPr>
                <w:numId w:val="0"/>
              </w:numPr>
              <w:rPr>
                <w:vertAlign w:val="baseline"/>
              </w:rPr>
            </w:pPr>
            <w:r>
              <w:rPr>
                <w:vertAlign w:val="baseline"/>
              </w:rPr>
              <w:t>持续维护相关系统，出具报告</w:t>
            </w:r>
          </w:p>
        </w:tc>
        <w:tc>
          <w:tcPr>
            <w:tcW w:w="2841" w:type="dxa"/>
          </w:tcPr>
          <w:p>
            <w:pPr>
              <w:numPr>
                <w:numId w:val="0"/>
              </w:numPr>
              <w:rPr>
                <w:vertAlign w:val="baseline"/>
              </w:rPr>
            </w:pPr>
            <w:r>
              <w:rPr>
                <w:vertAlign w:val="baseline"/>
              </w:rPr>
              <w:t>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tcPr>
          <w:p>
            <w:pPr>
              <w:numPr>
                <w:numId w:val="0"/>
              </w:numPr>
              <w:rPr>
                <w:vertAlign w:val="baseline"/>
              </w:rPr>
            </w:pPr>
            <w:r>
              <w:rPr>
                <w:vertAlign w:val="baseline"/>
              </w:rPr>
              <w:t>42-</w:t>
            </w:r>
            <w:r>
              <w:rPr>
                <w:vertAlign w:val="baseline"/>
              </w:rPr>
              <w:t>合同服务期到</w:t>
            </w:r>
          </w:p>
        </w:tc>
        <w:tc>
          <w:tcPr>
            <w:tcW w:w="2841" w:type="dxa"/>
          </w:tcPr>
          <w:p>
            <w:pPr>
              <w:numPr>
                <w:numId w:val="0"/>
              </w:numPr>
              <w:rPr>
                <w:vertAlign w:val="baseline"/>
              </w:rPr>
            </w:pPr>
            <w:r>
              <w:rPr>
                <w:vertAlign w:val="baseline"/>
              </w:rPr>
              <w:t>其他承诺的增值服务的提供</w:t>
            </w:r>
          </w:p>
        </w:tc>
        <w:tc>
          <w:tcPr>
            <w:tcW w:w="2841" w:type="dxa"/>
          </w:tcPr>
          <w:p>
            <w:pPr>
              <w:numPr>
                <w:numId w:val="0"/>
              </w:numPr>
              <w:rPr>
                <w:vertAlign w:val="baseline"/>
              </w:rPr>
            </w:pPr>
            <w:r>
              <w:rPr>
                <w:vertAlign w:val="baseline"/>
              </w:rPr>
              <w:t>增值服务的开发、维护、交付。</w:t>
            </w:r>
          </w:p>
        </w:tc>
      </w:tr>
    </w:tbl>
    <w:p>
      <w:pPr>
        <w:numPr>
          <w:numId w:val="0"/>
        </w:numPr>
        <w:ind w:left="840"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楷体_GB2312">
    <w:altName w:val="汉仪楷体KW"/>
    <w:panose1 w:val="00000000000000000000"/>
    <w:charset w:val="86"/>
    <w:family w:val="modern"/>
    <w:pitch w:val="default"/>
    <w:sig w:usb0="00000000" w:usb1="00000000" w:usb2="00000010" w:usb3="00000000" w:csb0="0004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10" w:usb3="00000000" w:csb0="00040000" w:csb1="00000000"/>
  </w:font>
  <w:font w:name="方正书宋简体">
    <w:altName w:val="Apple SD Gothic Neo"/>
    <w:panose1 w:val="00000000000000000000"/>
    <w:charset w:val="81"/>
    <w:family w:val="roman"/>
    <w:pitch w:val="default"/>
    <w:sig w:usb0="00000000" w:usb1="00000000" w:usb2="00000010" w:usb3="00000000" w:csb0="00080000" w:csb1="00000000"/>
  </w:font>
  <w:font w:name="幼圆">
    <w:altName w:val="华文宋体"/>
    <w:panose1 w:val="0201050906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Menlo">
    <w:panose1 w:val="020B0609030804020204"/>
    <w:charset w:val="00"/>
    <w:family w:val="auto"/>
    <w:pitch w:val="default"/>
    <w:sig w:usb0="E60022FF" w:usb1="D200F9FB" w:usb2="02000028" w:usb3="00000000" w:csb0="600001DF" w:csb1="FFDF0000"/>
  </w:font>
  <w:font w:name="Tahoma">
    <w:panose1 w:val="020B0804030504040204"/>
    <w:charset w:val="00"/>
    <w:family w:val="swiss"/>
    <w:pitch w:val="default"/>
    <w:sig w:usb0="E1002AFF" w:usb1="C000605B" w:usb2="00000029" w:usb3="00000000" w:csb0="200101FF" w:csb1="20280000"/>
  </w:font>
  <w:font w:name="华文楷体">
    <w:altName w:val="华文宋体"/>
    <w:panose1 w:val="02010600040101010101"/>
    <w:charset w:val="86"/>
    <w:family w:val="auto"/>
    <w:pitch w:val="default"/>
    <w:sig w:usb0="00000000" w:usb1="00000000" w:usb2="00000010" w:usb3="00000000" w:csb0="0004009F" w:csb1="00000000"/>
  </w:font>
  <w:font w:name="ˎ̥">
    <w:altName w:val="苹方-简"/>
    <w:panose1 w:val="00000000000000000000"/>
    <w:charset w:val="00"/>
    <w:family w:val="moder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Helvetica">
    <w:panose1 w:val="00000000000000000000"/>
    <w:charset w:val="00"/>
    <w:family w:val="swiss"/>
    <w:pitch w:val="default"/>
    <w:sig w:usb0="E00002FF" w:usb1="5000785B" w:usb2="00000000" w:usb3="00000000" w:csb0="2000019F" w:csb1="4F010000"/>
  </w:font>
  <w:font w:name="Futura Bk">
    <w:altName w:val="苹方-简"/>
    <w:panose1 w:val="00000000000000000000"/>
    <w:charset w:val="00"/>
    <w:family w:val="swiss"/>
    <w:pitch w:val="default"/>
    <w:sig w:usb0="00000000" w:usb1="00000000" w:usb2="00000000" w:usb3="00000000" w:csb0="00000001" w:csb1="00000000"/>
  </w:font>
  <w:font w:name="长城仿宋">
    <w:altName w:val="苹方-简"/>
    <w:panose1 w:val="00000000000000000000"/>
    <w:charset w:val="86"/>
    <w:family w:val="swiss"/>
    <w:pitch w:val="default"/>
    <w:sig w:usb0="00000000" w:usb1="00000000" w:usb2="00000010" w:usb3="00000000" w:csb0="00040000" w:csb1="00000000"/>
  </w:font>
  <w:font w:name="華康中楷體">
    <w:altName w:val="苹方-简"/>
    <w:panose1 w:val="00000000000000000000"/>
    <w:charset w:val="88"/>
    <w:family w:val="auto"/>
    <w:pitch w:val="default"/>
    <w:sig w:usb0="00000000" w:usb1="00000000" w:usb2="00000010" w:usb3="00000000" w:csb0="00100000" w:csb1="00000000"/>
  </w:font>
  <w:font w:name="Palatino">
    <w:panose1 w:val="00000000000000000000"/>
    <w:charset w:val="00"/>
    <w:family w:val="swiss"/>
    <w:pitch w:val="default"/>
    <w:sig w:usb0="A00002FF" w:usb1="7800205A" w:usb2="14600000" w:usb3="00000000" w:csb0="20000193" w:csb1="4D000000"/>
  </w:font>
  <w:font w:name="PMingLiU">
    <w:altName w:val="苹方-简"/>
    <w:panose1 w:val="02010601000101010101"/>
    <w:charset w:val="88"/>
    <w:family w:val="auto"/>
    <w:pitch w:val="default"/>
    <w:sig w:usb0="00000000" w:usb1="00000000" w:usb2="00000010" w:usb3="00000000" w:csb0="00100000" w:csb1="00000000"/>
  </w:font>
  <w:font w:name="华文仿宋">
    <w:altName w:val="华文宋体"/>
    <w:panose1 w:val="02010600040101010101"/>
    <w:charset w:val="86"/>
    <w:family w:val="auto"/>
    <w:pitch w:val="default"/>
    <w:sig w:usb0="00000000" w:usb1="00000000" w:usb2="00000010" w:usb3="00000000" w:csb0="0004009F" w:csb1="00000000"/>
  </w:font>
  <w:font w:name="华文中宋">
    <w:altName w:val="华文宋体"/>
    <w:panose1 w:val="02010600040101010101"/>
    <w:charset w:val="86"/>
    <w:family w:val="auto"/>
    <w:pitch w:val="default"/>
    <w:sig w:usb0="00000000" w:usb1="00000000" w:usb2="00000010" w:usb3="00000000" w:csb0="0004009F" w:csb1="00000000"/>
  </w:font>
  <w:font w:name="FZHei-B01">
    <w:altName w:val="苹方-简"/>
    <w:panose1 w:val="00000000000000000000"/>
    <w:charset w:val="86"/>
    <w:family w:val="script"/>
    <w:pitch w:val="default"/>
    <w:sig w:usb0="00000000" w:usb1="00000000" w:usb2="00000010" w:usb3="00000000" w:csb0="00040000" w:csb1="00000000"/>
  </w:font>
  <w:font w:name="宋体常规">
    <w:altName w:val="苹方-简"/>
    <w:panose1 w:val="00000000000000000000"/>
    <w:charset w:val="86"/>
    <w:family w:val="roman"/>
    <w:pitch w:val="default"/>
    <w:sig w:usb0="00000000" w:usb1="00000000" w:usb2="00000010" w:usb3="00000000" w:csb0="0004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仿宋体">
    <w:altName w:val="苹方-简"/>
    <w:panose1 w:val="00000000000000000000"/>
    <w:charset w:val="86"/>
    <w:family w:val="roman"/>
    <w:pitch w:val="default"/>
    <w:sig w:usb0="00000000" w:usb1="00000000" w:usb2="00000010" w:usb3="00000000" w:csb0="00040000" w:csb1="00000000"/>
  </w:font>
  <w:font w:name="Helv">
    <w:altName w:val="苹方-简"/>
    <w:panose1 w:val="020B0604020202030204"/>
    <w:charset w:val="00"/>
    <w:family w:val="swiss"/>
    <w:pitch w:val="default"/>
    <w:sig w:usb0="00000000" w:usb1="00000000" w:usb2="00000000" w:usb3="00000000" w:csb0="00000001" w:csb1="00000000"/>
  </w:font>
  <w:font w:name="Calisto MT">
    <w:altName w:val="苹方-简"/>
    <w:panose1 w:val="02040603050505030304"/>
    <w:charset w:val="00"/>
    <w:family w:val="roman"/>
    <w:pitch w:val="default"/>
    <w:sig w:usb0="00000000" w:usb1="00000000" w:usb2="00000000" w:usb3="00000000" w:csb0="00000001" w:csb1="00000000"/>
  </w:font>
  <w:font w:name="楷体">
    <w:altName w:val="汉仪楷体KW"/>
    <w:panose1 w:val="02010609060101010101"/>
    <w:charset w:val="86"/>
    <w:family w:val="modern"/>
    <w:pitch w:val="default"/>
    <w:sig w:usb0="00000000" w:usb1="00000000" w:usb2="00000016" w:usb3="00000000" w:csb0="00040001" w:csb1="00000000"/>
  </w:font>
  <w:font w:name="隶书">
    <w:altName w:val="宋体-简"/>
    <w:panose1 w:val="02010509060101010101"/>
    <w:charset w:val="86"/>
    <w:family w:val="modern"/>
    <w:pitch w:val="default"/>
    <w:sig w:usb0="00000000" w:usb1="00000000" w:usb2="00000010" w:usb3="00000000" w:csb0="00040000" w:csb1="00000000"/>
  </w:font>
  <w:font w:name="华文新魏">
    <w:altName w:val="宋体-简"/>
    <w:panose1 w:val="02010800040101010101"/>
    <w:charset w:val="86"/>
    <w:family w:val="auto"/>
    <w:pitch w:val="default"/>
    <w:sig w:usb0="00000000" w:usb1="00000000" w:usb2="00000010" w:usb3="00000000" w:csb0="00040000" w:csb1="00000000"/>
  </w:font>
  <w:font w:name="微软雅黑">
    <w:altName w:val="汉仪旗黑KW"/>
    <w:panose1 w:val="020B0503020204020204"/>
    <w:charset w:val="86"/>
    <w:family w:val="swiss"/>
    <w:pitch w:val="default"/>
    <w:sig w:usb0="00000000" w:usb1="00000000" w:usb2="00000016" w:usb3="00000000" w:csb0="0004001F" w:csb1="00000000"/>
  </w:font>
  <w:font w:name="仿宋">
    <w:altName w:val="汉仪仿宋KW"/>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 w:name="华文宋体">
    <w:panose1 w:val="02010600040101010101"/>
    <w:charset w:val="86"/>
    <w:family w:val="auto"/>
    <w:pitch w:val="default"/>
    <w:sig w:usb0="80000287" w:usb1="280F3C52" w:usb2="00000016" w:usb3="00000000" w:csb0="0004001F" w:csb1="00000000"/>
  </w:font>
  <w:font w:name="Apple SD Gothic Neo">
    <w:panose1 w:val="02000300000000000000"/>
    <w:charset w:val="81"/>
    <w:family w:val="auto"/>
    <w:pitch w:val="default"/>
    <w:sig w:usb0="00000203" w:usb1="21D12C10" w:usb2="00000010" w:usb3="00000000" w:csb0="00280005"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imes">
    <w:panose1 w:val="00000500000000020000"/>
    <w:charset w:val="00"/>
    <w:family w:val="auto"/>
    <w:pitch w:val="default"/>
    <w:sig w:usb0="E00002FF" w:usb1="5000205A" w:usb2="00000000" w:usb3="00000000" w:csb0="2000019F" w:csb1="4F010000"/>
  </w:font>
  <w:font w:name="冬青黑体简体中文">
    <w:panose1 w:val="020B0300000000000000"/>
    <w:charset w:val="86"/>
    <w:family w:val="auto"/>
    <w:pitch w:val="default"/>
    <w:sig w:usb0="A00002BF" w:usb1="1ACF7CFA" w:usb2="00000016" w:usb3="00000000" w:csb0="00060007" w:csb1="00000000"/>
  </w:font>
  <w:font w:name="Sylfaen">
    <w:altName w:val="苹方-简"/>
    <w:panose1 w:val="010A0502050306030303"/>
    <w:charset w:val="00"/>
    <w:family w:val="auto"/>
    <w:pitch w:val="default"/>
    <w:sig w:usb0="00000000" w:usb1="00000000" w:usb2="00000000" w:usb3="00000000" w:csb0="2000009F" w:csb1="00000000"/>
  </w:font>
  <w:font w:name="Calibri Light">
    <w:altName w:val="Helvetica Neue"/>
    <w:panose1 w:val="020F0302020204030204"/>
    <w:charset w:val="00"/>
    <w:family w:val="auto"/>
    <w:pitch w:val="default"/>
    <w:sig w:usb0="00000000" w:usb1="00000000" w:usb2="00000009" w:usb3="00000000" w:csb0="200001FF" w:csb1="00000000"/>
  </w:font>
  <w:font w:name="MT Extra">
    <w:panose1 w:val="05050102010205020202"/>
    <w:charset w:val="00"/>
    <w:family w:val="auto"/>
    <w:pitch w:val="default"/>
    <w:sig w:usb0="80000000" w:usb1="00000000" w:usb2="00000000" w:usb3="00000000" w:csb0="00000000" w:csb1="00000000"/>
  </w:font>
  <w:font w:name="Apple Color Emoji">
    <w:panose1 w:val="00000000000000000000"/>
    <w:charset w:val="00"/>
    <w:family w:val="auto"/>
    <w:pitch w:val="default"/>
    <w:sig w:usb0="00000003" w:usb1="18000000" w:usb2="14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A9CFC"/>
    <w:multiLevelType w:val="multilevel"/>
    <w:tmpl w:val="5A0A9CFC"/>
    <w:lvl w:ilvl="0" w:tentative="0">
      <w:start w:val="2"/>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A0A9D21"/>
    <w:multiLevelType w:val="multilevel"/>
    <w:tmpl w:val="5A0A9D21"/>
    <w:lvl w:ilvl="0" w:tentative="0">
      <w:start w:val="3"/>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5CC7FF86"/>
    <w:multiLevelType w:val="singleLevel"/>
    <w:tmpl w:val="5CC7FF8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F37E9"/>
    <w:rsid w:val="2D57114E"/>
    <w:rsid w:val="3EFF4D27"/>
    <w:rsid w:val="FDDF4095"/>
    <w:rsid w:val="FEFF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Office_1.0.0.1330_F1E327BC-269C-435d-A152-05C5408002CA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2019-04-30T13:44:00Z</dcterms:created>
  <dc:creator>magic</dc:creator>
  <cp:lastModifiedBy>magic</cp:lastModifiedBy>
  <dcterms:modified xsi:type="dcterms:W3CDTF">2019-05-01T12:19:32Z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2052-1.0.0.1330</vt:lpwstr>
  </property>
</Properties>
</file>