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6"/>
          <w:szCs w:val="36"/>
        </w:rPr>
      </w:pPr>
      <w:bookmarkStart w:id="0" w:name="_Toc534231123"/>
      <w:bookmarkStart w:id="1" w:name="_Toc534213654"/>
      <w:bookmarkStart w:id="2" w:name="_Toc534213646"/>
      <w:r>
        <w:rPr>
          <w:rFonts w:hint="eastAsia" w:ascii="宋体" w:hAnsi="宋体" w:eastAsia="宋体"/>
          <w:b/>
          <w:sz w:val="36"/>
          <w:szCs w:val="36"/>
        </w:rPr>
        <w:t>供应商情况介绍</w:t>
      </w:r>
      <w:bookmarkEnd w:id="0"/>
      <w:bookmarkEnd w:id="1"/>
      <w:bookmarkEnd w:id="2"/>
    </w:p>
    <w:sdt>
      <w:sdtPr>
        <w:rPr>
          <w:rFonts w:asciiTheme="minorHAnsi" w:hAnsiTheme="minorHAnsi" w:eastAsiaTheme="minorEastAsia" w:cstheme="minorBidi"/>
          <w:color w:val="auto"/>
          <w:kern w:val="2"/>
          <w:sz w:val="21"/>
          <w:szCs w:val="22"/>
          <w:lang w:val="zh-CN"/>
        </w:rPr>
        <w:id w:val="904258772"/>
      </w:sdtPr>
      <w:sdtEndPr>
        <w:rPr>
          <w:rFonts w:asciiTheme="minorHAnsi" w:hAnsiTheme="minorHAnsi" w:eastAsiaTheme="minorEastAsia" w:cstheme="minorBidi"/>
          <w:b/>
          <w:bCs/>
          <w:color w:val="auto"/>
          <w:kern w:val="2"/>
          <w:sz w:val="21"/>
          <w:szCs w:val="22"/>
          <w:lang w:val="zh-CN"/>
        </w:rPr>
      </w:sdtEndPr>
      <w:sdtContent>
        <w:p>
          <w:pPr>
            <w:pStyle w:val="35"/>
            <w:spacing w:line="360" w:lineRule="auto"/>
          </w:pPr>
          <w:r>
            <w:rPr>
              <w:lang w:val="zh-CN"/>
            </w:rPr>
            <w:t>目录</w:t>
          </w:r>
        </w:p>
        <w:p>
          <w:pPr>
            <w:pStyle w:val="14"/>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"_Toc4490084" </w:instrText>
          </w:r>
          <w:r>
            <w:fldChar w:fldCharType="separate"/>
          </w:r>
          <w:r>
            <w:rPr>
              <w:rStyle w:val="19"/>
            </w:rPr>
            <w:t>一、公司简介</w:t>
          </w:r>
          <w:r>
            <w:tab/>
          </w:r>
          <w:r>
            <w:fldChar w:fldCharType="begin"/>
          </w:r>
          <w:r>
            <w:instrText xml:space="preserve"> PAGEREF _Toc4490084 \h </w:instrText>
          </w:r>
          <w:r>
            <w:fldChar w:fldCharType="separate"/>
          </w:r>
          <w:r>
            <w:t>2</w:t>
          </w:r>
          <w:r>
            <w:fldChar w:fldCharType="end"/>
          </w:r>
          <w:r>
            <w:fldChar w:fldCharType="end"/>
          </w:r>
        </w:p>
        <w:p>
          <w:pPr>
            <w:pStyle w:val="14"/>
            <w:tabs>
              <w:tab w:val="right" w:leader="dot" w:pos="8296"/>
            </w:tabs>
            <w:rPr>
              <w:rFonts w:cstheme="minorBidi"/>
              <w:kern w:val="2"/>
              <w:sz w:val="21"/>
            </w:rPr>
          </w:pPr>
          <w:r>
            <w:fldChar w:fldCharType="begin"/>
          </w:r>
          <w:r>
            <w:instrText xml:space="preserve"> HYPERLINK \l "_Toc4490085" </w:instrText>
          </w:r>
          <w:r>
            <w:fldChar w:fldCharType="separate"/>
          </w:r>
          <w:r>
            <w:rPr>
              <w:rStyle w:val="19"/>
            </w:rPr>
            <w:t>二、</w:t>
          </w:r>
          <w:r>
            <w:rPr>
              <w:rStyle w:val="19"/>
              <w:rFonts w:ascii="等线" w:hAnsi="等线"/>
            </w:rPr>
            <w:t>公司基本情况</w:t>
          </w:r>
          <w:r>
            <w:tab/>
          </w:r>
          <w:r>
            <w:fldChar w:fldCharType="begin"/>
          </w:r>
          <w:r>
            <w:instrText xml:space="preserve"> PAGEREF _Toc4490085 \h </w:instrText>
          </w:r>
          <w:r>
            <w:fldChar w:fldCharType="separate"/>
          </w:r>
          <w:r>
            <w:t>2</w:t>
          </w:r>
          <w:r>
            <w:fldChar w:fldCharType="end"/>
          </w:r>
          <w:r>
            <w:fldChar w:fldCharType="end"/>
          </w:r>
        </w:p>
        <w:p>
          <w:pPr>
            <w:pStyle w:val="14"/>
            <w:tabs>
              <w:tab w:val="right" w:leader="dot" w:pos="8296"/>
            </w:tabs>
            <w:rPr>
              <w:rFonts w:cstheme="minorBidi"/>
              <w:kern w:val="2"/>
              <w:sz w:val="21"/>
            </w:rPr>
          </w:pPr>
          <w:r>
            <w:fldChar w:fldCharType="begin"/>
          </w:r>
          <w:r>
            <w:instrText xml:space="preserve"> HYPERLINK \l "_Toc4490086" </w:instrText>
          </w:r>
          <w:r>
            <w:fldChar w:fldCharType="separate"/>
          </w:r>
          <w:r>
            <w:rPr>
              <w:rStyle w:val="19"/>
            </w:rPr>
            <w:t>三、代表性案例</w:t>
          </w:r>
          <w:r>
            <w:tab/>
          </w:r>
          <w:r>
            <w:fldChar w:fldCharType="begin"/>
          </w:r>
          <w:r>
            <w:instrText xml:space="preserve"> PAGEREF _Toc4490086 \h </w:instrText>
          </w:r>
          <w:r>
            <w:fldChar w:fldCharType="separate"/>
          </w:r>
          <w:r>
            <w:t>3</w:t>
          </w:r>
          <w:r>
            <w:fldChar w:fldCharType="end"/>
          </w:r>
          <w:r>
            <w:fldChar w:fldCharType="end"/>
          </w:r>
        </w:p>
        <w:p>
          <w:pPr>
            <w:pStyle w:val="16"/>
            <w:tabs>
              <w:tab w:val="left" w:pos="840"/>
            </w:tabs>
          </w:pPr>
          <w:r>
            <w:fldChar w:fldCharType="begin"/>
          </w:r>
          <w:r>
            <w:instrText xml:space="preserve"> HYPERLINK \l "_Toc4490087" </w:instrText>
          </w:r>
          <w:r>
            <w:fldChar w:fldCharType="separate"/>
          </w:r>
          <w:r>
            <w:rPr>
              <w:rStyle w:val="19"/>
            </w:rPr>
            <w:t>1.</w:t>
          </w:r>
          <w:r>
            <w:tab/>
          </w:r>
          <w:r>
            <w:rPr>
              <w:rStyle w:val="19"/>
            </w:rPr>
            <w:t>郑州银行外部数据管理平台项目</w:t>
          </w:r>
          <w:r>
            <w:tab/>
          </w:r>
          <w:r>
            <w:fldChar w:fldCharType="begin"/>
          </w:r>
          <w:r>
            <w:instrText xml:space="preserve"> PAGEREF _Toc4490087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"_Toc4490088" </w:instrText>
          </w:r>
          <w:r>
            <w:fldChar w:fldCharType="separate"/>
          </w:r>
          <w:r>
            <w:rPr>
              <w:rStyle w:val="19"/>
            </w:rPr>
            <w:t>项目背景</w:t>
          </w:r>
          <w:r>
            <w:rPr>
              <w:rStyle w:val="19"/>
            </w:rPr>
            <w:t>：</w:t>
          </w:r>
          <w:r>
            <w:tab/>
          </w:r>
          <w:r>
            <w:fldChar w:fldCharType="begin"/>
          </w:r>
          <w:r>
            <w:instrText xml:space="preserve"> PAGEREF _Toc4490088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"_Toc4490089" </w:instrText>
          </w:r>
          <w:r>
            <w:fldChar w:fldCharType="separate"/>
          </w:r>
          <w:r>
            <w:rPr>
              <w:rStyle w:val="19"/>
            </w:rPr>
            <w:t>需求分析：</w:t>
          </w:r>
          <w:r>
            <w:tab/>
          </w:r>
          <w:r>
            <w:fldChar w:fldCharType="begin"/>
          </w:r>
          <w:r>
            <w:instrText xml:space="preserve"> PAGEREF _Toc4490089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"_Toc4490090" </w:instrText>
          </w:r>
          <w:r>
            <w:fldChar w:fldCharType="separate"/>
          </w:r>
          <w:r>
            <w:rPr>
              <w:rStyle w:val="19"/>
            </w:rPr>
            <w:t>架构图：</w:t>
          </w:r>
          <w:r>
            <w:tab/>
          </w:r>
          <w:r>
            <w:fldChar w:fldCharType="begin"/>
          </w:r>
          <w:r>
            <w:instrText xml:space="preserve"> PAGEREF _Toc4490090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"_Toc4490091" </w:instrText>
          </w:r>
          <w:r>
            <w:fldChar w:fldCharType="separate"/>
          </w:r>
          <w:r>
            <w:rPr>
              <w:rStyle w:val="19"/>
            </w:rPr>
            <w:t>需求应答：</w:t>
          </w:r>
          <w:r>
            <w:tab/>
          </w:r>
          <w:r>
            <w:fldChar w:fldCharType="begin"/>
          </w:r>
          <w:r>
            <w:instrText xml:space="preserve"> PAGEREF _Toc4490091 \h </w:instrText>
          </w:r>
          <w:r>
            <w:fldChar w:fldCharType="separate"/>
          </w:r>
          <w:r>
            <w:t>4</w:t>
          </w:r>
          <w:r>
            <w:fldChar w:fldCharType="end"/>
          </w:r>
          <w:r>
            <w:fldChar w:fldCharType="end"/>
          </w:r>
        </w:p>
        <w:p>
          <w:pPr>
            <w:pStyle w:val="16"/>
            <w:tabs>
              <w:tab w:val="left" w:pos="840"/>
            </w:tabs>
          </w:pPr>
          <w:r>
            <w:fldChar w:fldCharType="begin"/>
          </w:r>
          <w:r>
            <w:instrText xml:space="preserve"> HYPERLINK \l "_Toc4490092" </w:instrText>
          </w:r>
          <w:r>
            <w:fldChar w:fldCharType="separate"/>
          </w:r>
          <w:r>
            <w:rPr>
              <w:rStyle w:val="19"/>
            </w:rPr>
            <w:t>2.</w:t>
          </w:r>
          <w:r>
            <w:tab/>
          </w:r>
          <w:r>
            <w:rPr>
              <w:rStyle w:val="19"/>
            </w:rPr>
            <w:t>中信案例</w:t>
          </w:r>
          <w:r>
            <w:tab/>
          </w:r>
          <w:r>
            <w:fldChar w:fldCharType="begin"/>
          </w:r>
          <w:r>
            <w:instrText xml:space="preserve"> PAGEREF _Toc4490092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"_Toc4490093" </w:instrText>
          </w:r>
          <w:r>
            <w:fldChar w:fldCharType="separate"/>
          </w:r>
          <w:r>
            <w:rPr>
              <w:rStyle w:val="19"/>
            </w:rPr>
            <w:t>项目背景</w:t>
          </w:r>
          <w:r>
            <w:rPr>
              <w:rStyle w:val="19"/>
            </w:rPr>
            <w:t>：</w:t>
          </w:r>
          <w:r>
            <w:tab/>
          </w:r>
          <w:r>
            <w:fldChar w:fldCharType="begin"/>
          </w:r>
          <w:r>
            <w:instrText xml:space="preserve"> PAGEREF _Toc4490093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"_Toc4490094" </w:instrText>
          </w:r>
          <w:r>
            <w:fldChar w:fldCharType="separate"/>
          </w:r>
          <w:r>
            <w:rPr>
              <w:rStyle w:val="19"/>
            </w:rPr>
            <w:t>需求及需求应答：</w:t>
          </w:r>
          <w:r>
            <w:tab/>
          </w:r>
          <w:r>
            <w:fldChar w:fldCharType="begin"/>
          </w:r>
          <w:r>
            <w:instrText xml:space="preserve"> PAGEREF _Toc4490094 \h </w:instrText>
          </w:r>
          <w:r>
            <w:fldChar w:fldCharType="separate"/>
          </w:r>
          <w:r>
            <w:t>6</w:t>
          </w:r>
          <w:r>
            <w:fldChar w:fldCharType="end"/>
          </w:r>
          <w:r>
            <w:fldChar w:fldCharType="end"/>
          </w:r>
        </w:p>
        <w:p>
          <w:pPr>
            <w:pStyle w:val="16"/>
            <w:tabs>
              <w:tab w:val="left" w:pos="840"/>
            </w:tabs>
          </w:pPr>
          <w:r>
            <w:fldChar w:fldCharType="begin"/>
          </w:r>
          <w:r>
            <w:instrText xml:space="preserve"> HYPERLINK \l "_Toc4490095" </w:instrText>
          </w:r>
          <w:r>
            <w:fldChar w:fldCharType="separate"/>
          </w:r>
          <w:r>
            <w:rPr>
              <w:rStyle w:val="19"/>
            </w:rPr>
            <w:t>3.</w:t>
          </w:r>
          <w:r>
            <w:tab/>
          </w:r>
          <w:r>
            <w:rPr>
              <w:rStyle w:val="19"/>
            </w:rPr>
            <w:t>百果园案例</w:t>
          </w:r>
          <w:r>
            <w:tab/>
          </w:r>
          <w:r>
            <w:fldChar w:fldCharType="begin"/>
          </w:r>
          <w:r>
            <w:instrText xml:space="preserve"> PAGEREF _Toc4490095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"_Toc4490096" </w:instrText>
          </w:r>
          <w:r>
            <w:fldChar w:fldCharType="separate"/>
          </w:r>
          <w:r>
            <w:rPr>
              <w:rStyle w:val="19"/>
            </w:rPr>
            <w:t>项目背景</w:t>
          </w:r>
          <w:r>
            <w:rPr>
              <w:rStyle w:val="19"/>
            </w:rPr>
            <w:t>：</w:t>
          </w:r>
          <w:r>
            <w:tab/>
          </w:r>
          <w:r>
            <w:fldChar w:fldCharType="begin"/>
          </w:r>
          <w:r>
            <w:instrText xml:space="preserve"> PAGEREF _Toc4490096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"_Toc4490097" </w:instrText>
          </w:r>
          <w:r>
            <w:fldChar w:fldCharType="separate"/>
          </w:r>
          <w:r>
            <w:rPr>
              <w:rStyle w:val="19"/>
            </w:rPr>
            <w:t>需求分析：</w:t>
          </w:r>
          <w:r>
            <w:tab/>
          </w:r>
          <w:r>
            <w:fldChar w:fldCharType="begin"/>
          </w:r>
          <w:r>
            <w:instrText xml:space="preserve"> PAGEREF _Toc4490097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"_Toc4490098" </w:instrText>
          </w:r>
          <w:r>
            <w:fldChar w:fldCharType="separate"/>
          </w:r>
          <w:r>
            <w:rPr>
              <w:rStyle w:val="19"/>
            </w:rPr>
            <w:t>需求应答：</w:t>
          </w:r>
          <w:r>
            <w:tab/>
          </w:r>
          <w:r>
            <w:fldChar w:fldCharType="begin"/>
          </w:r>
          <w:r>
            <w:instrText xml:space="preserve"> PAGEREF _Toc4490098 \h </w:instrText>
          </w:r>
          <w:r>
            <w:fldChar w:fldCharType="separate"/>
          </w:r>
          <w:r>
            <w:t>8</w:t>
          </w:r>
          <w:r>
            <w:fldChar w:fldCharType="end"/>
          </w:r>
          <w:r>
            <w:fldChar w:fldCharType="end"/>
          </w:r>
        </w:p>
        <w:p>
          <w:pPr>
            <w:pStyle w:val="16"/>
          </w:pPr>
          <w:r>
            <w:fldChar w:fldCharType="begin"/>
          </w:r>
          <w:r>
            <w:instrText xml:space="preserve"> HYPERLINK \l "_Toc4490099" </w:instrText>
          </w:r>
          <w:r>
            <w:fldChar w:fldCharType="separate"/>
          </w:r>
          <w:r>
            <w:rPr>
              <w:rStyle w:val="19"/>
            </w:rPr>
            <w:t>四、专业资质</w:t>
          </w:r>
          <w:r>
            <w:tab/>
          </w:r>
          <w:r>
            <w:fldChar w:fldCharType="begin"/>
          </w:r>
          <w:r>
            <w:instrText xml:space="preserve"> PAGEREF _Toc4490099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"_Toc4490100" </w:instrText>
          </w:r>
          <w:r>
            <w:fldChar w:fldCharType="separate"/>
          </w:r>
          <w:r>
            <w:rPr>
              <w:rStyle w:val="19"/>
            </w:rPr>
            <w:t>CMMI3</w:t>
          </w:r>
          <w:r>
            <w:tab/>
          </w:r>
          <w:r>
            <w:fldChar w:fldCharType="begin"/>
          </w:r>
          <w:r>
            <w:instrText xml:space="preserve"> PAGEREF _Toc4490100 \h </w:instrText>
          </w:r>
          <w:r>
            <w:fldChar w:fldCharType="separate"/>
          </w:r>
          <w:r>
            <w:t>11</w:t>
          </w:r>
          <w:r>
            <w:fldChar w:fldCharType="end"/>
          </w:r>
          <w:r>
            <w:fldChar w:fldCharType="end"/>
          </w:r>
        </w:p>
        <w:p>
          <w:pPr>
            <w:pStyle w:val="8"/>
            <w:tabs>
              <w:tab w:val="right" w:leader="dot" w:pos="8296"/>
            </w:tabs>
          </w:pPr>
          <w:r>
            <w:fldChar w:fldCharType="begin"/>
          </w:r>
          <w:r>
            <w:instrText xml:space="preserve"> HYPERLINK \l "_Toc4490101" </w:instrText>
          </w:r>
          <w:r>
            <w:fldChar w:fldCharType="separate"/>
          </w:r>
          <w:r>
            <w:rPr>
              <w:rStyle w:val="19"/>
            </w:rPr>
            <w:t>企业质量管理体系认证证书</w:t>
          </w:r>
          <w:r>
            <w:tab/>
          </w:r>
          <w:r>
            <w:fldChar w:fldCharType="begin"/>
          </w:r>
          <w:r>
            <w:instrText xml:space="preserve"> PAGEREF _Toc4490101 \h </w:instrText>
          </w:r>
          <w:r>
            <w:fldChar w:fldCharType="separate"/>
          </w:r>
          <w:r>
            <w:t>12</w:t>
          </w:r>
          <w:r>
            <w:fldChar w:fldCharType="end"/>
          </w:r>
          <w:r>
            <w:fldChar w:fldCharType="end"/>
          </w:r>
        </w:p>
        <w:p>
          <w:pPr>
            <w:pStyle w:val="8"/>
            <w:tabs>
              <w:tab w:val="right" w:leader="dot" w:pos="8296"/>
            </w:tabs>
          </w:pPr>
          <w:r>
            <w:fldChar w:fldCharType="begin"/>
          </w:r>
          <w:r>
            <w:instrText xml:space="preserve"> HYPERLINK \l "_Toc4490102" </w:instrText>
          </w:r>
          <w:r>
            <w:fldChar w:fldCharType="separate"/>
          </w:r>
          <w:r>
            <w:rPr>
              <w:rStyle w:val="19"/>
            </w:rPr>
            <w:t>发明专利</w:t>
          </w:r>
          <w:r>
            <w:tab/>
          </w:r>
          <w:r>
            <w:fldChar w:fldCharType="begin"/>
          </w:r>
          <w:r>
            <w:instrText xml:space="preserve"> PAGEREF _Toc4490102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"_Toc4490103" </w:instrText>
          </w:r>
          <w:r>
            <w:fldChar w:fldCharType="separate"/>
          </w:r>
          <w:r>
            <w:rPr>
              <w:rStyle w:val="19"/>
            </w:rPr>
            <w:t>软件著作（部分）</w:t>
          </w:r>
          <w:r>
            <w:tab/>
          </w:r>
          <w:r>
            <w:fldChar w:fldCharType="begin"/>
          </w:r>
          <w:r>
            <w:instrText xml:space="preserve"> PAGEREF _Toc4490103 \h </w:instrText>
          </w:r>
          <w:r>
            <w:fldChar w:fldCharType="separate"/>
          </w:r>
          <w:r>
            <w:t>17</w:t>
          </w:r>
          <w:r>
            <w:fldChar w:fldCharType="end"/>
          </w:r>
          <w:r>
            <w:fldChar w:fldCharType="end"/>
          </w:r>
        </w:p>
        <w:p>
          <w:pPr>
            <w:spacing w:line="360" w:lineRule="auto"/>
          </w:pPr>
          <w:r>
            <w:rPr>
              <w:b/>
              <w:bCs/>
              <w:lang w:val="zh-CN"/>
            </w:rPr>
            <w:fldChar w:fldCharType="end"/>
          </w:r>
        </w:p>
      </w:sdtContent>
    </w:sdt>
    <w:p>
      <w:pPr>
        <w:widowControl/>
        <w:spacing w:line="360" w:lineRule="auto"/>
        <w:jc w:val="left"/>
        <w:rPr>
          <w:rFonts w:ascii="宋体" w:hAnsi="宋体" w:eastAsia="宋体"/>
          <w:b/>
          <w:sz w:val="36"/>
          <w:szCs w:val="36"/>
        </w:rPr>
      </w:pPr>
      <w:r>
        <w:rPr>
          <w:rFonts w:ascii="宋体" w:hAnsi="宋体" w:eastAsia="宋体"/>
          <w:b/>
          <w:sz w:val="36"/>
          <w:szCs w:val="36"/>
        </w:rPr>
        <w:br w:type="page"/>
      </w:r>
    </w:p>
    <w:p>
      <w:pPr>
        <w:pStyle w:val="2"/>
      </w:pPr>
      <w:bookmarkStart w:id="3" w:name="_Toc534231124"/>
      <w:bookmarkStart w:id="4" w:name="_Toc534213655"/>
      <w:bookmarkStart w:id="5" w:name="_Toc4490084"/>
      <w:r>
        <w:rPr>
          <w:rFonts w:hint="eastAsia"/>
        </w:rPr>
        <w:t>一、公司简介</w:t>
      </w:r>
      <w:bookmarkEnd w:id="3"/>
      <w:bookmarkEnd w:id="4"/>
      <w:bookmarkEnd w:id="5"/>
    </w:p>
    <w:p>
      <w:pPr>
        <w:spacing w:before="100" w:beforeAutospacing="1" w:after="100" w:afterAutospacing="1" w:line="312" w:lineRule="auto"/>
        <w:ind w:firstLine="480" w:firstLineChars="200"/>
        <w:rPr>
          <w:rFonts w:ascii="宋体" w:hAnsi="宋体" w:eastAsia="宋体"/>
          <w:sz w:val="24"/>
          <w:szCs w:val="24"/>
        </w:rPr>
      </w:pPr>
      <w:r>
        <w:rPr>
          <w:rFonts w:hint="eastAsia" w:ascii="宋体" w:hAnsi="宋体" w:eastAsia="宋体"/>
          <w:sz w:val="24"/>
          <w:szCs w:val="24"/>
        </w:rPr>
        <w:t>深圳市比一比网络科技有限公司，成立于2009年，位于深圳南山科技园，是国家高薪技术证书，拥有ISO资质证书，CMMI3证及互联网ICP证书；拥有四项大数据国家发明专利，三十多项大数据技术相关的国家软著作权证书。是深圳市互联</w:t>
      </w:r>
      <w:r>
        <w:rPr>
          <w:rFonts w:hint="eastAsia" w:ascii="宋体" w:hAnsi="宋体" w:eastAsia="宋体" w:cs="宋体"/>
          <w:sz w:val="24"/>
          <w:szCs w:val="24"/>
        </w:rPr>
        <w:t>网技术协会副会长单位</w:t>
      </w:r>
      <w:r>
        <w:rPr>
          <w:rFonts w:hint="eastAsia" w:ascii="宋体" w:hAnsi="宋体" w:eastAsia="宋体"/>
          <w:sz w:val="24"/>
          <w:szCs w:val="24"/>
        </w:rPr>
        <w:t>，深圳技术创新单位。</w:t>
      </w:r>
      <w:bookmarkStart w:id="6" w:name="_Toc4490085"/>
    </w:p>
    <w:p>
      <w:pPr>
        <w:spacing w:before="100" w:beforeAutospacing="1" w:after="100" w:afterAutospacing="1" w:line="312" w:lineRule="auto"/>
        <w:ind w:firstLine="480" w:firstLineChars="200"/>
        <w:rPr>
          <w:rFonts w:ascii="宋体" w:hAnsi="宋体" w:eastAsia="宋体"/>
          <w:sz w:val="24"/>
          <w:szCs w:val="24"/>
        </w:rPr>
      </w:pPr>
      <w:r>
        <w:rPr>
          <w:rFonts w:hint="eastAsia" w:ascii="宋体" w:hAnsi="宋体" w:eastAsia="宋体"/>
          <w:sz w:val="24"/>
          <w:szCs w:val="24"/>
        </w:rPr>
        <w:t>公司一直致力于大数据收集、分布式存储、数据分析与挖掘</w:t>
      </w:r>
      <w:r>
        <w:rPr>
          <w:rFonts w:ascii="宋体" w:hAnsi="宋体" w:eastAsia="宋体"/>
          <w:sz w:val="24"/>
          <w:szCs w:val="24"/>
        </w:rPr>
        <w:t xml:space="preserve">, </w:t>
      </w:r>
      <w:r>
        <w:rPr>
          <w:rFonts w:hint="eastAsia" w:ascii="宋体" w:hAnsi="宋体" w:eastAsia="宋体"/>
          <w:sz w:val="24"/>
          <w:szCs w:val="24"/>
        </w:rPr>
        <w:t>数据可视化</w:t>
      </w:r>
      <w:r>
        <w:rPr>
          <w:rFonts w:hint="eastAsia" w:ascii="宋体" w:hAnsi="宋体" w:eastAsia="宋体" w:cs="宋体"/>
          <w:sz w:val="24"/>
          <w:szCs w:val="24"/>
        </w:rPr>
        <w:t>方面的研发。为客户提供</w:t>
      </w:r>
      <w:r>
        <w:rPr>
          <w:rFonts w:hint="eastAsia" w:ascii="微软雅黑" w:hAnsi="微软雅黑" w:eastAsia="微软雅黑" w:cs="微软雅黑"/>
          <w:sz w:val="24"/>
          <w:szCs w:val="24"/>
        </w:rPr>
        <w:t>⼀</w:t>
      </w:r>
      <w:r>
        <w:rPr>
          <w:rFonts w:hint="eastAsia" w:ascii="宋体" w:hAnsi="宋体" w:eastAsia="宋体" w:cs="宋体"/>
          <w:sz w:val="24"/>
          <w:szCs w:val="24"/>
        </w:rPr>
        <w:t>站式的大数据解决方案。主要服务对象为泛金融行业</w:t>
      </w:r>
      <w:r>
        <w:rPr>
          <w:rFonts w:ascii="宋体" w:hAnsi="宋体" w:eastAsia="宋体"/>
          <w:sz w:val="24"/>
          <w:szCs w:val="24"/>
        </w:rPr>
        <w:t>,</w:t>
      </w:r>
      <w:r>
        <w:rPr>
          <w:rFonts w:hint="eastAsia" w:ascii="宋体" w:hAnsi="宋体" w:eastAsia="宋体"/>
          <w:sz w:val="24"/>
          <w:szCs w:val="24"/>
        </w:rPr>
        <w:t>包括银行</w:t>
      </w:r>
      <w:r>
        <w:rPr>
          <w:rFonts w:ascii="宋体" w:hAnsi="宋体" w:eastAsia="宋体"/>
          <w:sz w:val="24"/>
          <w:szCs w:val="24"/>
        </w:rPr>
        <w:t>,</w:t>
      </w:r>
      <w:r>
        <w:rPr>
          <w:rFonts w:hint="eastAsia" w:ascii="宋体" w:hAnsi="宋体" w:eastAsia="宋体"/>
          <w:sz w:val="24"/>
          <w:szCs w:val="24"/>
        </w:rPr>
        <w:t>商业保理公司</w:t>
      </w:r>
      <w:r>
        <w:rPr>
          <w:rFonts w:ascii="宋体" w:hAnsi="宋体" w:eastAsia="宋体"/>
          <w:sz w:val="24"/>
          <w:szCs w:val="24"/>
        </w:rPr>
        <w:t>,</w:t>
      </w:r>
      <w:r>
        <w:rPr>
          <w:rFonts w:hint="eastAsia" w:ascii="宋体" w:hAnsi="宋体" w:eastAsia="宋体"/>
          <w:sz w:val="24"/>
          <w:szCs w:val="24"/>
        </w:rPr>
        <w:t>担保公司</w:t>
      </w:r>
      <w:r>
        <w:rPr>
          <w:rFonts w:ascii="宋体" w:hAnsi="宋体" w:eastAsia="宋体"/>
          <w:sz w:val="24"/>
          <w:szCs w:val="24"/>
        </w:rPr>
        <w:t>,</w:t>
      </w:r>
      <w:r>
        <w:rPr>
          <w:rFonts w:hint="eastAsia" w:ascii="宋体" w:hAnsi="宋体" w:eastAsia="宋体"/>
          <w:sz w:val="24"/>
          <w:szCs w:val="24"/>
        </w:rPr>
        <w:t>互联网金融</w:t>
      </w:r>
      <w:r>
        <w:rPr>
          <w:rFonts w:ascii="宋体" w:hAnsi="宋体" w:eastAsia="宋体"/>
          <w:sz w:val="24"/>
          <w:szCs w:val="24"/>
        </w:rPr>
        <w:t>,</w:t>
      </w:r>
      <w:r>
        <w:rPr>
          <w:rFonts w:hint="eastAsia" w:ascii="宋体" w:hAnsi="宋体" w:eastAsia="宋体"/>
          <w:sz w:val="24"/>
          <w:szCs w:val="24"/>
        </w:rPr>
        <w:t>供应链金融公司。公司在深圳总部有约</w:t>
      </w:r>
      <w:r>
        <w:rPr>
          <w:rFonts w:ascii="宋体" w:hAnsi="宋体" w:eastAsia="宋体"/>
          <w:sz w:val="24"/>
          <w:szCs w:val="24"/>
        </w:rPr>
        <w:t>50</w:t>
      </w:r>
      <w:r>
        <w:rPr>
          <w:rFonts w:hint="eastAsia" w:ascii="宋体" w:hAnsi="宋体" w:eastAsia="宋体" w:cs="宋体"/>
          <w:sz w:val="24"/>
          <w:szCs w:val="24"/>
        </w:rPr>
        <w:t>人的研发团队</w:t>
      </w:r>
      <w:r>
        <w:rPr>
          <w:rFonts w:ascii="宋体" w:hAnsi="宋体" w:eastAsia="宋体"/>
          <w:sz w:val="24"/>
          <w:szCs w:val="24"/>
        </w:rPr>
        <w:t xml:space="preserve">, </w:t>
      </w:r>
      <w:r>
        <w:rPr>
          <w:rFonts w:hint="eastAsia" w:ascii="宋体" w:hAnsi="宋体" w:eastAsia="宋体"/>
          <w:sz w:val="24"/>
          <w:szCs w:val="24"/>
        </w:rPr>
        <w:t>另外同时在多个银</w:t>
      </w:r>
      <w:r>
        <w:rPr>
          <w:rFonts w:hint="eastAsia" w:ascii="宋体" w:hAnsi="宋体" w:eastAsia="宋体" w:cs="宋体"/>
          <w:sz w:val="24"/>
          <w:szCs w:val="24"/>
        </w:rPr>
        <w:t>行有实施团队驻点</w:t>
      </w:r>
      <w:r>
        <w:rPr>
          <w:rFonts w:hint="eastAsia" w:ascii="宋体" w:hAnsi="宋体" w:eastAsia="宋体"/>
          <w:sz w:val="24"/>
          <w:szCs w:val="24"/>
        </w:rPr>
        <w:t>。</w:t>
      </w:r>
    </w:p>
    <w:p>
      <w:pPr>
        <w:spacing w:line="312" w:lineRule="auto"/>
        <w:rPr>
          <w:rFonts w:ascii="宋体" w:hAnsi="宋体" w:eastAsia="宋体"/>
          <w:sz w:val="24"/>
          <w:szCs w:val="24"/>
        </w:rPr>
      </w:pPr>
      <w:r>
        <w:rPr>
          <w:rFonts w:hint="eastAsia" w:ascii="等线" w:hAnsi="等线"/>
        </w:rPr>
        <w:t>公司基本情况</w:t>
      </w:r>
      <w:bookmarkEnd w:id="6"/>
    </w:p>
    <w:tbl>
      <w:tblPr>
        <w:tblStyle w:val="20"/>
        <w:tblW w:w="884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1" w:hRule="atLeast"/>
        </w:trPr>
        <w:tc>
          <w:tcPr>
            <w:tcW w:w="8848" w:type="dxa"/>
            <w:gridSpan w:val="2"/>
            <w:shd w:val="clear" w:color="auto" w:fill="auto"/>
            <w:vAlign w:val="center"/>
          </w:tcPr>
          <w:p>
            <w:pPr>
              <w:widowControl/>
              <w:ind w:firstLine="643"/>
              <w:jc w:val="center"/>
              <w:rPr>
                <w:rFonts w:ascii="等线" w:hAnsi="等线"/>
                <w:b/>
                <w:kern w:val="0"/>
                <w:sz w:val="32"/>
              </w:rPr>
            </w:pPr>
            <w:r>
              <w:rPr>
                <w:rFonts w:hint="eastAsia" w:ascii="等线" w:hAnsi="等线"/>
                <w:b/>
                <w:bCs/>
                <w:sz w:val="32"/>
              </w:rPr>
              <w:t>公司基本情况</w:t>
            </w:r>
          </w:p>
        </w:tc>
      </w:tr>
      <w:tr>
        <w:tblPrEx>
          <w:tblLayout w:type="fixed"/>
        </w:tblPrEx>
        <w:trPr>
          <w:trHeight w:val="446" w:hRule="atLeast"/>
        </w:trPr>
        <w:tc>
          <w:tcPr>
            <w:tcW w:w="4708" w:type="dxa"/>
            <w:shd w:val="clear" w:color="auto" w:fill="auto"/>
            <w:vAlign w:val="center"/>
          </w:tcPr>
          <w:p>
            <w:pPr>
              <w:ind w:firstLine="30"/>
              <w:rPr>
                <w:rFonts w:ascii="等线" w:hAnsi="等线"/>
                <w:szCs w:val="21"/>
              </w:rPr>
            </w:pPr>
            <w:r>
              <w:rPr>
                <w:rFonts w:hint="eastAsia" w:ascii="等线" w:hAnsi="等线"/>
                <w:szCs w:val="21"/>
              </w:rPr>
              <w:t>法人营业执照号码：9144030068375453XL</w:t>
            </w:r>
          </w:p>
        </w:tc>
        <w:tc>
          <w:tcPr>
            <w:tcW w:w="4140" w:type="dxa"/>
            <w:shd w:val="clear" w:color="auto" w:fill="auto"/>
            <w:vAlign w:val="center"/>
          </w:tcPr>
          <w:p>
            <w:pPr>
              <w:ind w:hanging="1"/>
              <w:rPr>
                <w:rFonts w:ascii="等线" w:hAnsi="等线"/>
                <w:szCs w:val="21"/>
              </w:rPr>
            </w:pPr>
            <w:r>
              <w:rPr>
                <w:rFonts w:hint="eastAsia" w:ascii="等线" w:hAnsi="等线"/>
                <w:szCs w:val="21"/>
              </w:rPr>
              <w:t>组织机构代码：68375453XL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0" w:hRule="atLeast"/>
        </w:trPr>
        <w:tc>
          <w:tcPr>
            <w:tcW w:w="4708" w:type="dxa"/>
            <w:shd w:val="clear" w:color="auto" w:fill="auto"/>
            <w:vAlign w:val="center"/>
          </w:tcPr>
          <w:p>
            <w:pPr>
              <w:ind w:firstLine="30"/>
              <w:rPr>
                <w:rFonts w:ascii="等线" w:hAnsi="等线"/>
                <w:szCs w:val="21"/>
              </w:rPr>
            </w:pPr>
            <w:r>
              <w:rPr>
                <w:rFonts w:hint="eastAsia" w:ascii="等线" w:hAnsi="等线"/>
                <w:szCs w:val="21"/>
              </w:rPr>
              <w:t>公司成立时间： 2009年01月12日</w:t>
            </w:r>
          </w:p>
        </w:tc>
        <w:tc>
          <w:tcPr>
            <w:tcW w:w="4140" w:type="dxa"/>
            <w:shd w:val="clear" w:color="auto" w:fill="auto"/>
            <w:vAlign w:val="center"/>
          </w:tcPr>
          <w:p>
            <w:pPr>
              <w:ind w:hanging="1"/>
              <w:rPr>
                <w:rFonts w:ascii="等线" w:hAnsi="等线"/>
                <w:szCs w:val="21"/>
              </w:rPr>
            </w:pPr>
            <w:r>
              <w:rPr>
                <w:rFonts w:hint="eastAsia" w:ascii="等线" w:hAnsi="等线"/>
                <w:szCs w:val="21"/>
              </w:rPr>
              <w:t xml:space="preserve">公司注册资本： </w:t>
            </w:r>
            <w:r>
              <w:rPr>
                <w:rFonts w:ascii="等线" w:hAnsi="等线"/>
                <w:szCs w:val="21"/>
              </w:rPr>
              <w:t>1107.7417</w:t>
            </w:r>
            <w:r>
              <w:rPr>
                <w:rFonts w:hint="eastAsia" w:ascii="等线" w:hAnsi="等线"/>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2" w:hRule="atLeast"/>
        </w:trPr>
        <w:tc>
          <w:tcPr>
            <w:tcW w:w="4708" w:type="dxa"/>
            <w:shd w:val="clear" w:color="auto" w:fill="auto"/>
            <w:vAlign w:val="center"/>
          </w:tcPr>
          <w:p>
            <w:pPr>
              <w:ind w:firstLine="30"/>
              <w:rPr>
                <w:rFonts w:ascii="等线" w:hAnsi="等线"/>
                <w:szCs w:val="21"/>
              </w:rPr>
            </w:pPr>
            <w:r>
              <w:rPr>
                <w:rFonts w:hint="eastAsia" w:ascii="等线" w:hAnsi="等线"/>
                <w:szCs w:val="21"/>
              </w:rPr>
              <w:t>注册地址： 深圳市南山区粤海街道高新技术园中区科苑大道讯美科技广场1栋3楼306</w:t>
            </w:r>
          </w:p>
        </w:tc>
        <w:tc>
          <w:tcPr>
            <w:tcW w:w="4140" w:type="dxa"/>
            <w:shd w:val="clear" w:color="auto" w:fill="auto"/>
            <w:vAlign w:val="center"/>
          </w:tcPr>
          <w:p>
            <w:pPr>
              <w:ind w:hanging="1"/>
              <w:rPr>
                <w:rFonts w:ascii="等线" w:hAnsi="等线"/>
                <w:szCs w:val="21"/>
              </w:rPr>
            </w:pPr>
            <w:r>
              <w:rPr>
                <w:rFonts w:hint="eastAsia" w:ascii="等线" w:hAnsi="等线"/>
                <w:szCs w:val="21"/>
              </w:rPr>
              <w:t>办公地址： 深圳市南山区粤海街道高新技术园中区科苑大道讯美科技广场1栋3楼306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4708" w:type="dxa"/>
            <w:shd w:val="clear" w:color="auto" w:fill="auto"/>
            <w:vAlign w:val="center"/>
          </w:tcPr>
          <w:p>
            <w:pPr>
              <w:ind w:firstLine="30"/>
              <w:rPr>
                <w:rFonts w:ascii="等线" w:hAnsi="等线"/>
                <w:szCs w:val="21"/>
              </w:rPr>
            </w:pPr>
            <w:r>
              <w:rPr>
                <w:rFonts w:hint="eastAsia" w:ascii="等线" w:hAnsi="等线"/>
                <w:szCs w:val="21"/>
              </w:rPr>
              <w:t>法人代表：杜卫红</w:t>
            </w:r>
          </w:p>
        </w:tc>
        <w:tc>
          <w:tcPr>
            <w:tcW w:w="4140" w:type="dxa"/>
            <w:shd w:val="clear" w:color="auto" w:fill="auto"/>
            <w:vAlign w:val="center"/>
          </w:tcPr>
          <w:p>
            <w:pPr>
              <w:ind w:hanging="1"/>
              <w:rPr>
                <w:rFonts w:ascii="等线" w:hAnsi="等线"/>
                <w:szCs w:val="21"/>
              </w:rPr>
            </w:pPr>
            <w:r>
              <w:rPr>
                <w:rFonts w:hint="eastAsia" w:ascii="等线" w:hAnsi="等线"/>
                <w:szCs w:val="21"/>
              </w:rPr>
              <w:t>法人代表国籍：中国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4" w:hRule="atLeast"/>
        </w:trPr>
        <w:tc>
          <w:tcPr>
            <w:tcW w:w="4708" w:type="dxa"/>
            <w:shd w:val="clear" w:color="auto" w:fill="auto"/>
            <w:vAlign w:val="center"/>
          </w:tcPr>
          <w:p>
            <w:pPr>
              <w:ind w:firstLine="30"/>
              <w:rPr>
                <w:rFonts w:ascii="等线" w:hAnsi="等线"/>
                <w:szCs w:val="21"/>
              </w:rPr>
            </w:pPr>
            <w:r>
              <w:rPr>
                <w:rFonts w:hint="eastAsia" w:ascii="等线" w:hAnsi="等线"/>
                <w:szCs w:val="21"/>
              </w:rPr>
              <w:t>联系电话：0755-88321616</w:t>
            </w:r>
          </w:p>
        </w:tc>
        <w:tc>
          <w:tcPr>
            <w:tcW w:w="4140" w:type="dxa"/>
            <w:shd w:val="clear" w:color="auto" w:fill="auto"/>
            <w:vAlign w:val="center"/>
          </w:tcPr>
          <w:p>
            <w:pPr>
              <w:ind w:hanging="1"/>
              <w:rPr>
                <w:rFonts w:ascii="等线" w:hAnsi="等线"/>
                <w:szCs w:val="21"/>
              </w:rPr>
            </w:pPr>
            <w:r>
              <w:rPr>
                <w:rFonts w:hint="eastAsia" w:ascii="等线" w:hAnsi="等线"/>
                <w:szCs w:val="21"/>
              </w:rPr>
              <w:t>法人代表工作邮箱：john@beyebe.com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5" w:hRule="atLeast"/>
        </w:trPr>
        <w:tc>
          <w:tcPr>
            <w:tcW w:w="4708" w:type="dxa"/>
            <w:shd w:val="clear" w:color="auto" w:fill="auto"/>
            <w:vAlign w:val="center"/>
          </w:tcPr>
          <w:p>
            <w:pPr>
              <w:ind w:firstLine="30"/>
              <w:rPr>
                <w:rFonts w:ascii="等线" w:hAnsi="等线"/>
                <w:szCs w:val="21"/>
              </w:rPr>
            </w:pPr>
            <w:r>
              <w:rPr>
                <w:rFonts w:hint="eastAsia" w:ascii="等线" w:hAnsi="等线"/>
                <w:szCs w:val="21"/>
              </w:rPr>
              <w:t>经济性质：民营</w:t>
            </w:r>
          </w:p>
        </w:tc>
        <w:tc>
          <w:tcPr>
            <w:tcW w:w="4140" w:type="dxa"/>
            <w:shd w:val="clear" w:color="auto" w:fill="auto"/>
            <w:vAlign w:val="center"/>
          </w:tcPr>
          <w:p>
            <w:pPr>
              <w:ind w:hanging="1"/>
              <w:rPr>
                <w:rFonts w:ascii="等线" w:hAnsi="等线"/>
                <w:szCs w:val="21"/>
              </w:rPr>
            </w:pPr>
            <w:r>
              <w:rPr>
                <w:rFonts w:hint="eastAsia" w:ascii="等线" w:hAnsi="等线"/>
                <w:szCs w:val="21"/>
              </w:rPr>
              <w:t>是否上市及上市地点：否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1" w:hRule="atLeast"/>
        </w:trPr>
        <w:tc>
          <w:tcPr>
            <w:tcW w:w="4708" w:type="dxa"/>
            <w:shd w:val="clear" w:color="auto" w:fill="auto"/>
            <w:vAlign w:val="center"/>
          </w:tcPr>
          <w:p>
            <w:pPr>
              <w:ind w:firstLine="30"/>
              <w:rPr>
                <w:rFonts w:ascii="等线" w:hAnsi="等线"/>
                <w:szCs w:val="21"/>
              </w:rPr>
            </w:pPr>
            <w:r>
              <w:rPr>
                <w:rFonts w:hint="eastAsia" w:ascii="等线" w:hAnsi="等线"/>
                <w:szCs w:val="21"/>
              </w:rPr>
              <w:t>服务机构地域分布： 深圳</w:t>
            </w:r>
          </w:p>
        </w:tc>
        <w:tc>
          <w:tcPr>
            <w:tcW w:w="4140" w:type="dxa"/>
            <w:shd w:val="clear" w:color="auto" w:fill="auto"/>
            <w:vAlign w:val="center"/>
          </w:tcPr>
          <w:p>
            <w:pPr>
              <w:ind w:hanging="1"/>
              <w:rPr>
                <w:rFonts w:ascii="等线" w:hAnsi="等线"/>
                <w:szCs w:val="21"/>
              </w:rPr>
            </w:pPr>
            <w:r>
              <w:rPr>
                <w:rFonts w:hint="eastAsia" w:ascii="等线" w:hAnsi="等线"/>
                <w:szCs w:val="21"/>
              </w:rPr>
              <w:t>主营业务： 软件及数据服务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506" w:hRule="atLeast"/>
        </w:trPr>
        <w:tc>
          <w:tcPr>
            <w:tcW w:w="4708" w:type="dxa"/>
            <w:shd w:val="clear" w:color="auto" w:fill="auto"/>
            <w:vAlign w:val="center"/>
          </w:tcPr>
          <w:p>
            <w:pPr>
              <w:jc w:val="left"/>
              <w:rPr>
                <w:rFonts w:ascii="等线" w:hAnsi="等线"/>
                <w:szCs w:val="21"/>
              </w:rPr>
            </w:pPr>
            <w:r>
              <w:rPr>
                <w:rFonts w:hint="eastAsia" w:ascii="等线" w:hAnsi="等线"/>
                <w:szCs w:val="21"/>
              </w:rPr>
              <w:t>相关资质：“ISO9001质量管理体系认证证书”、</w:t>
            </w:r>
          </w:p>
          <w:p>
            <w:pPr>
              <w:ind w:firstLine="945" w:firstLineChars="450"/>
              <w:jc w:val="left"/>
              <w:rPr>
                <w:rFonts w:ascii="等线" w:hAnsi="等线"/>
                <w:szCs w:val="21"/>
              </w:rPr>
            </w:pPr>
            <w:r>
              <w:rPr>
                <w:rFonts w:hint="eastAsia" w:ascii="等线" w:hAnsi="等线"/>
                <w:szCs w:val="21"/>
              </w:rPr>
              <w:t>“软件企业认定证书”</w:t>
            </w:r>
          </w:p>
          <w:p>
            <w:pPr>
              <w:ind w:firstLine="945" w:firstLineChars="450"/>
              <w:jc w:val="left"/>
              <w:rPr>
                <w:rFonts w:ascii="等线" w:hAnsi="等线"/>
                <w:szCs w:val="21"/>
              </w:rPr>
            </w:pPr>
            <w:r>
              <w:rPr>
                <w:rFonts w:hint="eastAsia" w:ascii="等线" w:hAnsi="等线"/>
                <w:szCs w:val="21"/>
              </w:rPr>
              <w:t>“软件产品登记证书”</w:t>
            </w:r>
          </w:p>
          <w:p>
            <w:pPr>
              <w:ind w:firstLine="945" w:firstLineChars="450"/>
              <w:jc w:val="left"/>
              <w:rPr>
                <w:rFonts w:ascii="等线" w:hAnsi="等线"/>
                <w:szCs w:val="21"/>
              </w:rPr>
            </w:pPr>
            <w:r>
              <w:rPr>
                <w:rFonts w:hint="eastAsia" w:ascii="等线" w:hAnsi="等线"/>
                <w:szCs w:val="21"/>
              </w:rPr>
              <w:t>“计算机软件著作权登记证书”等</w:t>
            </w:r>
          </w:p>
        </w:tc>
        <w:tc>
          <w:tcPr>
            <w:tcW w:w="4140" w:type="dxa"/>
            <w:shd w:val="clear" w:color="auto" w:fill="auto"/>
            <w:vAlign w:val="center"/>
          </w:tcPr>
          <w:p>
            <w:pPr>
              <w:ind w:hanging="1"/>
              <w:rPr>
                <w:rFonts w:ascii="等线" w:hAnsi="等线"/>
                <w:szCs w:val="21"/>
              </w:rPr>
            </w:pPr>
            <w:r>
              <w:rPr>
                <w:rFonts w:hint="eastAsia" w:ascii="等线" w:hAnsi="等线"/>
                <w:szCs w:val="21"/>
              </w:rPr>
              <w:t>是否有自主知识产权产品：是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46" w:hRule="atLeast"/>
        </w:trPr>
        <w:tc>
          <w:tcPr>
            <w:tcW w:w="8848" w:type="dxa"/>
            <w:gridSpan w:val="2"/>
            <w:shd w:val="clear" w:color="auto" w:fill="auto"/>
            <w:vAlign w:val="center"/>
          </w:tcPr>
          <w:p>
            <w:pPr>
              <w:ind w:firstLine="420"/>
              <w:rPr>
                <w:rFonts w:ascii="等线" w:hAnsi="等线"/>
                <w:szCs w:val="21"/>
              </w:rPr>
            </w:pPr>
            <w:r>
              <w:rPr>
                <w:rFonts w:hint="eastAsia" w:ascii="等线" w:hAnsi="等线"/>
                <w:szCs w:val="21"/>
              </w:rPr>
              <w:t>经营范围：计算机软硬件、通讯设备、网络的技术开发和销售，技术咨询；企业管理咨询及其它信息咨询（不含人才中介服务、证券及其它限制项目）；代订机票；会议策划；从事广告业务（法律、行政法规规定应进行广告经营审批登记的，另行办理审批登记后方可经营）；国内贸易（法律、行政法规、国务院决定规定在登记前须经批准的项目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34" w:hRule="atLeast"/>
        </w:trPr>
        <w:tc>
          <w:tcPr>
            <w:tcW w:w="8848" w:type="dxa"/>
            <w:gridSpan w:val="2"/>
            <w:shd w:val="clear" w:color="auto" w:fill="auto"/>
            <w:vAlign w:val="center"/>
          </w:tcPr>
          <w:p>
            <w:pPr>
              <w:rPr>
                <w:rFonts w:ascii="等线" w:hAnsi="等线"/>
                <w:szCs w:val="21"/>
              </w:rPr>
            </w:pPr>
            <w:r>
              <w:rPr>
                <w:rFonts w:hint="eastAsia" w:ascii="等线" w:hAnsi="等线"/>
                <w:szCs w:val="21"/>
              </w:rPr>
              <w:t>项目联系人：陈香</w:t>
            </w:r>
          </w:p>
          <w:p>
            <w:pPr>
              <w:rPr>
                <w:rFonts w:ascii="等线" w:hAnsi="等线"/>
                <w:szCs w:val="21"/>
              </w:rPr>
            </w:pPr>
            <w:r>
              <w:rPr>
                <w:rFonts w:hint="eastAsia" w:ascii="等线" w:hAnsi="等线"/>
                <w:szCs w:val="21"/>
              </w:rPr>
              <w:t xml:space="preserve">联系人手机：13691856180 </w:t>
            </w:r>
            <w:r>
              <w:rPr>
                <w:rFonts w:ascii="等线" w:hAnsi="等线"/>
                <w:szCs w:val="21"/>
              </w:rPr>
              <w:t xml:space="preserve">   </w:t>
            </w:r>
            <w:r>
              <w:rPr>
                <w:rFonts w:hint="eastAsia" w:ascii="等线" w:hAnsi="等线"/>
                <w:szCs w:val="21"/>
              </w:rPr>
              <w:t>联系人邮箱：chenx</w:t>
            </w:r>
            <w:r>
              <w:rPr>
                <w:rFonts w:ascii="等线" w:hAnsi="等线"/>
                <w:szCs w:val="21"/>
              </w:rPr>
              <w:t>@beyebe.com</w:t>
            </w:r>
          </w:p>
        </w:tc>
      </w:tr>
    </w:tbl>
    <w:p>
      <w:pPr>
        <w:pStyle w:val="2"/>
      </w:pPr>
      <w:bookmarkStart w:id="7" w:name="_Toc534213657"/>
      <w:bookmarkStart w:id="8" w:name="_Toc4490086"/>
      <w:bookmarkStart w:id="9" w:name="_Toc534231126"/>
      <w:bookmarkStart w:id="10" w:name="_Toc534213656"/>
      <w:r>
        <w:rPr>
          <w:rFonts w:hint="eastAsia"/>
        </w:rPr>
        <w:t>三、代表性案例</w:t>
      </w:r>
      <w:bookmarkEnd w:id="7"/>
      <w:bookmarkEnd w:id="8"/>
      <w:bookmarkEnd w:id="9"/>
    </w:p>
    <w:p>
      <w:pPr>
        <w:pStyle w:val="3"/>
        <w:numPr>
          <w:ilvl w:val="0"/>
          <w:numId w:val="1"/>
        </w:numPr>
        <w:rPr>
          <w:lang w:val="en-US"/>
        </w:rPr>
      </w:pPr>
      <w:bookmarkStart w:id="11" w:name="_Toc4490087"/>
      <w:r>
        <w:rPr>
          <w:rFonts w:hint="eastAsia"/>
        </w:rPr>
        <w:t>郑州银行</w:t>
      </w:r>
      <w:bookmarkEnd w:id="11"/>
      <w:r>
        <w:rPr>
          <w:rFonts w:hint="default"/>
        </w:rPr>
        <w:t>案例</w:t>
      </w:r>
    </w:p>
    <w:p>
      <w:pPr>
        <w:pStyle w:val="4"/>
      </w:pPr>
      <w:bookmarkStart w:id="12" w:name="_Toc4490088"/>
      <w:r>
        <w:t>项目背景</w:t>
      </w:r>
      <w:r>
        <w:t>：</w:t>
      </w:r>
      <w:bookmarkEnd w:id="12"/>
    </w:p>
    <w:p>
      <w:pPr>
        <w:pStyle w:val="31"/>
        <w:spacing w:before="100" w:beforeAutospacing="1" w:after="100" w:afterAutospacing="1" w:line="312" w:lineRule="auto"/>
        <w:ind w:left="420" w:leftChars="0" w:firstLine="420" w:firstLineChars="0"/>
        <w:rPr>
          <w:rFonts w:ascii="宋体" w:hAnsi="宋体" w:eastAsia="宋体"/>
          <w:sz w:val="24"/>
        </w:rPr>
      </w:pPr>
      <w:r>
        <w:rPr>
          <w:rFonts w:ascii="宋体" w:hAnsi="宋体" w:eastAsia="宋体"/>
          <w:sz w:val="24"/>
        </w:rPr>
        <w:t>在项目接入前，郑州银行</w:t>
      </w:r>
      <w:r>
        <w:rPr>
          <w:rFonts w:hint="eastAsia" w:ascii="宋体" w:hAnsi="宋体" w:eastAsia="宋体"/>
          <w:sz w:val="24"/>
        </w:rPr>
        <w:t>外部数据使用均为业务部门自行负责，随着使用部门的不断增加，单项目的外部数据接入平台已经无法满足行内需求，并且有着操作复杂，维护繁琐，缺乏统一，</w:t>
      </w:r>
      <w:r>
        <w:rPr>
          <w:rFonts w:ascii="宋体" w:hAnsi="宋体" w:eastAsia="宋体"/>
          <w:sz w:val="24"/>
        </w:rPr>
        <w:t>重复采购</w:t>
      </w:r>
      <w:r>
        <w:rPr>
          <w:rFonts w:hint="eastAsia" w:ascii="宋体" w:hAnsi="宋体" w:eastAsia="宋体"/>
          <w:sz w:val="24"/>
        </w:rPr>
        <w:t>等问题。</w:t>
      </w:r>
      <w:r>
        <w:rPr>
          <w:rFonts w:ascii="宋体" w:hAnsi="宋体" w:eastAsia="宋体"/>
          <w:sz w:val="24"/>
        </w:rPr>
        <w:t>本项目</w:t>
      </w:r>
      <w:r>
        <w:rPr>
          <w:rFonts w:hint="eastAsia" w:ascii="宋体" w:hAnsi="宋体" w:eastAsia="宋体"/>
          <w:sz w:val="24"/>
        </w:rPr>
        <w:t>通过收集与整合海量的外部数据，搭建一套完整的“外部数据库”，建立统一的接入、清洗、存储、管理、应用通道，实现全行外部数据的集中与共享，为授信决策、智能流程、精准营销等方面提供有力地支撑</w:t>
      </w:r>
      <w:r>
        <w:rPr>
          <w:rFonts w:hint="default" w:ascii="宋体" w:hAnsi="宋体" w:eastAsia="宋体"/>
          <w:sz w:val="24"/>
        </w:rPr>
        <w:t>。</w:t>
      </w:r>
    </w:p>
    <w:p>
      <w:pPr>
        <w:pStyle w:val="4"/>
      </w:pPr>
      <w:bookmarkStart w:id="13" w:name="_Toc4490089"/>
      <w:r>
        <w:t>需求分析：</w:t>
      </w:r>
      <w:bookmarkEnd w:id="13"/>
    </w:p>
    <w:p>
      <w:pPr>
        <w:pStyle w:val="31"/>
        <w:spacing w:before="100" w:beforeAutospacing="1" w:after="100" w:afterAutospacing="1" w:line="312" w:lineRule="auto"/>
        <w:ind w:left="420" w:leftChars="0" w:firstLine="420" w:firstLineChars="0"/>
        <w:rPr>
          <w:rFonts w:ascii="宋体" w:hAnsi="宋体" w:eastAsia="宋体"/>
          <w:sz w:val="24"/>
        </w:rPr>
      </w:pPr>
      <w:r>
        <w:rPr>
          <w:rFonts w:ascii="宋体" w:hAnsi="宋体" w:eastAsia="宋体"/>
          <w:sz w:val="24"/>
        </w:rPr>
        <w:t>数据来源方面，</w:t>
      </w:r>
      <w:r>
        <w:rPr>
          <w:rFonts w:ascii="宋体" w:hAnsi="宋体" w:eastAsia="宋体"/>
          <w:sz w:val="24"/>
        </w:rPr>
        <w:t>外部接入数据有同盾、运营商、住房公积金、学信网等数据。实际上也对甲方所涉及到的内部脱敏数据进行了处理，否则达不到银行</w:t>
      </w:r>
      <w:r>
        <w:rPr>
          <w:rFonts w:ascii="宋体" w:hAnsi="宋体" w:eastAsia="宋体"/>
          <w:sz w:val="24"/>
        </w:rPr>
        <w:t>自动化BI</w:t>
      </w:r>
      <w:r>
        <w:rPr>
          <w:rFonts w:ascii="宋体" w:hAnsi="宋体" w:eastAsia="宋体"/>
          <w:sz w:val="24"/>
        </w:rPr>
        <w:t>的</w:t>
      </w:r>
      <w:r>
        <w:rPr>
          <w:rFonts w:ascii="宋体" w:hAnsi="宋体" w:eastAsia="宋体"/>
          <w:sz w:val="24"/>
        </w:rPr>
        <w:t>要求</w:t>
      </w:r>
      <w:r>
        <w:rPr>
          <w:rFonts w:ascii="宋体" w:hAnsi="宋体" w:eastAsia="宋体"/>
          <w:sz w:val="24"/>
        </w:rPr>
        <w:t>。</w:t>
      </w:r>
    </w:p>
    <w:p>
      <w:pPr>
        <w:pStyle w:val="31"/>
        <w:spacing w:before="100" w:beforeAutospacing="1" w:after="100" w:afterAutospacing="1" w:line="312" w:lineRule="auto"/>
        <w:ind w:left="420" w:leftChars="0" w:firstLine="420" w:firstLineChars="0"/>
        <w:rPr>
          <w:rFonts w:ascii="宋体" w:hAnsi="宋体" w:eastAsia="宋体"/>
          <w:sz w:val="24"/>
        </w:rPr>
      </w:pPr>
      <w:r>
        <w:rPr>
          <w:rFonts w:ascii="宋体" w:hAnsi="宋体" w:eastAsia="宋体"/>
          <w:sz w:val="24"/>
        </w:rPr>
        <w:t>数据纬度</w:t>
      </w:r>
      <w:r>
        <w:rPr>
          <w:rFonts w:ascii="宋体" w:hAnsi="宋体" w:eastAsia="宋体"/>
          <w:sz w:val="24"/>
        </w:rPr>
        <w:t>方面，</w:t>
      </w:r>
      <w:r>
        <w:rPr>
          <w:rFonts w:ascii="宋体" w:hAnsi="宋体" w:eastAsia="宋体"/>
          <w:sz w:val="24"/>
        </w:rPr>
        <w:t>包括用户数据、行为数据、异常日志等，数据行为包括处理非结构化数据（比如处理上传的PDF、EXCAL、日志等）、数据整合（添加外键、建立中间表等）、数据迁移（迁移至自建mysql、Hadoop等）。</w:t>
      </w:r>
    </w:p>
    <w:p>
      <w:pPr>
        <w:pStyle w:val="31"/>
        <w:spacing w:before="100" w:beforeAutospacing="1" w:after="100" w:afterAutospacing="1" w:line="312" w:lineRule="auto"/>
        <w:ind w:left="420" w:leftChars="0" w:firstLine="420" w:firstLineChars="0"/>
        <w:rPr>
          <w:rFonts w:ascii="宋体" w:hAnsi="宋体" w:eastAsia="宋体"/>
          <w:sz w:val="24"/>
        </w:rPr>
      </w:pPr>
      <w:r>
        <w:rPr>
          <w:rFonts w:ascii="宋体" w:hAnsi="宋体" w:eastAsia="宋体"/>
          <w:sz w:val="24"/>
        </w:rPr>
        <w:t>数据管理方面，</w:t>
      </w:r>
      <w:r>
        <w:rPr>
          <w:rFonts w:ascii="宋体" w:hAnsi="宋体" w:eastAsia="宋体"/>
          <w:sz w:val="24"/>
        </w:rPr>
        <w:t>银行对数据管理有着严格规定，为了保证不干扰线上服务的正常运行，管理平台建立了健壮、高同步的旁路系统，保证外部数据和内部数据的快速整体处理。</w:t>
      </w:r>
    </w:p>
    <w:p/>
    <w:p>
      <w:pPr>
        <w:pStyle w:val="31"/>
        <w:spacing w:before="100" w:beforeAutospacing="1" w:after="100" w:afterAutospacing="1" w:line="312" w:lineRule="auto"/>
        <w:ind w:left="420" w:firstLine="0" w:firstLineChars="0"/>
        <w:rPr>
          <w:rFonts w:ascii="宋体" w:hAnsi="宋体" w:eastAsia="宋体"/>
          <w:sz w:val="24"/>
        </w:rPr>
      </w:pPr>
    </w:p>
    <w:p>
      <w:pPr>
        <w:pStyle w:val="4"/>
      </w:pPr>
      <w:bookmarkStart w:id="14" w:name="_Toc4490091"/>
      <w:r>
        <w:rPr>
          <w:strike/>
          <w:dstrike w:val="0"/>
        </w:rPr>
        <w:t>解决方案</w:t>
      </w:r>
      <w:r>
        <w:t>：</w:t>
      </w:r>
      <w:bookmarkEnd w:id="14"/>
    </w:p>
    <w:p>
      <w:bookmarkStart w:id="27" w:name="_GoBack"/>
      <w:r>
        <w:drawing>
          <wp:inline distT="0" distB="0" distL="114300" distR="114300">
            <wp:extent cx="5266055" cy="4145915"/>
            <wp:effectExtent l="0" t="0" r="17145" b="196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66055" cy="4145915"/>
                    </a:xfrm>
                    <a:prstGeom prst="rect">
                      <a:avLst/>
                    </a:prstGeom>
                    <a:noFill/>
                    <a:ln w="9525">
                      <a:noFill/>
                    </a:ln>
                  </pic:spPr>
                </pic:pic>
              </a:graphicData>
            </a:graphic>
          </wp:inline>
        </w:drawing>
      </w:r>
      <w:bookmarkEnd w:id="27"/>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对于旁路需求</w:t>
      </w:r>
      <w:r>
        <w:rPr>
          <w:rFonts w:ascii="宋体" w:hAnsi="宋体" w:eastAsia="宋体"/>
          <w:sz w:val="24"/>
        </w:rPr>
        <w:t>，</w:t>
      </w:r>
      <w:r>
        <w:rPr>
          <w:rFonts w:ascii="宋体" w:hAnsi="宋体" w:eastAsia="宋体"/>
          <w:sz w:val="24"/>
        </w:rPr>
        <w:t>我们进行了</w:t>
      </w:r>
      <w:r>
        <w:rPr>
          <w:rFonts w:ascii="宋体" w:hAnsi="宋体" w:eastAsia="宋体"/>
          <w:sz w:val="24"/>
        </w:rPr>
        <w:t>针对性设计。一是增加了Timer类数据获取，可以自由定义Timer的采集时间，从而避免影响现有系统。二是进行完整副本设计，任何情况下避免二次采集。</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对于数据接入</w:t>
      </w:r>
      <w:r>
        <w:rPr>
          <w:rFonts w:ascii="宋体" w:hAnsi="宋体" w:eastAsia="宋体"/>
          <w:sz w:val="24"/>
        </w:rPr>
        <w:t>的设计问题</w:t>
      </w:r>
      <w:r>
        <w:rPr>
          <w:rFonts w:ascii="宋体" w:hAnsi="宋体" w:eastAsia="宋体"/>
          <w:sz w:val="24"/>
        </w:rPr>
        <w:t>，</w:t>
      </w:r>
      <w:r>
        <w:rPr>
          <w:rFonts w:ascii="宋体" w:hAnsi="宋体" w:eastAsia="宋体"/>
          <w:sz w:val="24"/>
        </w:rPr>
        <w:t>设计了四种不同的接入场景。使得无论是外部数据和内部数据，都可以做到快速接入系统。并尽量减少对现有系统的打扰。无论是被动接入还是主动接入，都可以快速支持。</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对于所有的需求，全部数秒内完成是不现实的。我们针对客户</w:t>
      </w:r>
      <w:r>
        <w:rPr>
          <w:rFonts w:ascii="宋体" w:hAnsi="宋体" w:eastAsia="宋体"/>
          <w:sz w:val="24"/>
        </w:rPr>
        <w:t>对于效率的</w:t>
      </w:r>
      <w:r>
        <w:rPr>
          <w:rFonts w:ascii="宋体" w:hAnsi="宋体" w:eastAsia="宋体"/>
          <w:sz w:val="24"/>
        </w:rPr>
        <w:t>需求，分成即时查询和慢查询两种查询方式。对于即时查询的场景，依据架构保证了即时性。对分析类慢查询的场景，走大数据计算模型进行异步处理。</w:t>
      </w:r>
    </w:p>
    <w:p>
      <w:pPr>
        <w:widowControl/>
        <w:jc w:val="left"/>
        <w:rPr>
          <w:rFonts w:ascii="宋体" w:hAnsi="宋体" w:eastAsia="宋体"/>
          <w:sz w:val="24"/>
        </w:rPr>
      </w:pPr>
    </w:p>
    <w:p>
      <w:pPr>
        <w:pStyle w:val="3"/>
        <w:numPr>
          <w:ilvl w:val="0"/>
          <w:numId w:val="1"/>
        </w:numPr>
        <w:rPr>
          <w:rFonts w:ascii="宋体" w:hAnsi="宋体" w:eastAsia="宋体"/>
          <w:sz w:val="24"/>
        </w:rPr>
      </w:pPr>
      <w:bookmarkStart w:id="15" w:name="_Toc4490092"/>
      <w:r>
        <w:t>中信案例</w:t>
      </w:r>
      <w:bookmarkEnd w:id="15"/>
    </w:p>
    <w:p>
      <w:pPr>
        <w:pStyle w:val="4"/>
      </w:pPr>
      <w:bookmarkStart w:id="16" w:name="_Toc4490093"/>
      <w:r>
        <w:t>项目背景</w:t>
      </w:r>
      <w:r>
        <w:t>：</w:t>
      </w:r>
      <w:bookmarkEnd w:id="16"/>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中信银行信用卡中心《云架构升级扫清外围子项目底层数据平台升级之网络数据采集平台建设项目》（后简称中信案例）成果目标：</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（1）完成贷款前期资料的收集、校验与授信等流程。获取客户的完整数据拼图、丰富数据存量与持续更新，助力中信银行进行精准营销及产品创新，进行线上数据化运营，增强风险监控，提高风险规避能力。</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（2）通过中信银行大数据采集平台，充分了解客户行为特征，预测客户消费行为，进行有针对性的营销策略制定，实现精准营销及产品创新。</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3）通过大数据采集平台，实现大数据支撑，彻底地改变传统客户运营服务模式，转向线上运营模式，使其潜在客户群体的层次和数量，打破了空间和时间的限制，在保证优质客户的同时，有效的降低获客成本。</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4）通过大数据采集平台，前期通过资料的收集、校验与授信等，实现加强风险规避和简化房贷流程。中后期通过提取账户行为特征，建立实时风险监控系统，增强风险监控的灵活性和准确性，实现对风险的有效把握。</w:t>
      </w:r>
    </w:p>
    <w:p>
      <w:pPr>
        <w:pStyle w:val="3"/>
      </w:pPr>
      <w:r>
        <w:t>需求分析：</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中信银行信用卡中心</w:t>
      </w:r>
      <w:r>
        <w:rPr>
          <w:rFonts w:ascii="宋体" w:hAnsi="宋体" w:eastAsia="宋体"/>
          <w:sz w:val="24"/>
        </w:rPr>
        <w:t>在审核时，针对客户提供社保信息，是以纸质盖章的形式提供。这个方式会引起造假、审核繁琐、用户体验差等问题。通过我们搭建的云采集平台，可以做到在客户授权之后，自动化采集社保信息提交审核。通过该服务，优化了客户的服务流程，也杜绝了造假的可能。</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采集平台同时也可以为银行采集招聘网站数据、银行对公数据、房地产数据等。使得银行补充了数据库内的空数据。能够在多个业务线上产生了重要帮助。</w:t>
      </w:r>
    </w:p>
    <w:p>
      <w:pPr>
        <w:pStyle w:val="4"/>
      </w:pPr>
      <w:bookmarkStart w:id="17" w:name="_Toc4490094"/>
      <w:r>
        <w:t>解决方案</w:t>
      </w:r>
      <w:r>
        <w:t>：</w:t>
      </w:r>
      <w:bookmarkEnd w:id="17"/>
    </w:p>
    <w:p>
      <w:r>
        <w:drawing>
          <wp:inline distT="0" distB="0" distL="114300" distR="114300">
            <wp:extent cx="5272405" cy="4004945"/>
            <wp:effectExtent l="0" t="0" r="1079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272405" cy="4004945"/>
                    </a:xfrm>
                    <a:prstGeom prst="rect">
                      <a:avLst/>
                    </a:prstGeom>
                    <a:noFill/>
                    <a:ln w="9525">
                      <a:noFill/>
                    </a:ln>
                  </pic:spPr>
                </pic:pic>
              </a:graphicData>
            </a:graphic>
          </wp:inline>
        </w:drawing>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针对行方的</w:t>
      </w:r>
      <w:r>
        <w:rPr>
          <w:rFonts w:ascii="宋体" w:hAnsi="宋体" w:eastAsia="宋体"/>
          <w:sz w:val="24"/>
        </w:rPr>
        <w:t>高可用</w:t>
      </w:r>
      <w:r>
        <w:rPr>
          <w:rFonts w:ascii="宋体" w:hAnsi="宋体" w:eastAsia="宋体"/>
          <w:sz w:val="24"/>
        </w:rPr>
        <w:t>的</w:t>
      </w:r>
      <w:r>
        <w:rPr>
          <w:rFonts w:ascii="宋体" w:hAnsi="宋体" w:eastAsia="宋体"/>
          <w:sz w:val="24"/>
        </w:rPr>
        <w:t>需求</w:t>
      </w:r>
      <w:r>
        <w:rPr>
          <w:rFonts w:ascii="宋体" w:hAnsi="宋体" w:eastAsia="宋体"/>
          <w:sz w:val="24"/>
        </w:rPr>
        <w:t>，</w:t>
      </w:r>
      <w:r>
        <w:rPr>
          <w:rFonts w:ascii="宋体" w:hAnsi="宋体" w:eastAsia="宋体"/>
          <w:sz w:val="24"/>
        </w:rPr>
        <w:t>我方</w:t>
      </w:r>
      <w:r>
        <w:rPr>
          <w:rFonts w:ascii="宋体" w:hAnsi="宋体" w:eastAsia="宋体"/>
          <w:sz w:val="24"/>
        </w:rPr>
        <w:t>通过分布式、多节点部署。保证了单点故障不会引起系统不可用。达到了央行对于</w:t>
      </w:r>
      <w:r>
        <w:rPr>
          <w:rFonts w:ascii="宋体" w:hAnsi="宋体" w:eastAsia="宋体"/>
          <w:sz w:val="24"/>
        </w:rPr>
        <w:t>“银行业”技术安全规范中对于服务、数据库、接口等设计要求。</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针对行方保证</w:t>
      </w:r>
      <w:r>
        <w:rPr>
          <w:rFonts w:ascii="宋体" w:hAnsi="宋体" w:eastAsia="宋体"/>
          <w:sz w:val="24"/>
        </w:rPr>
        <w:t>易管理性需求</w:t>
      </w:r>
      <w:r>
        <w:rPr>
          <w:rFonts w:ascii="宋体" w:hAnsi="宋体" w:eastAsia="宋体"/>
          <w:sz w:val="24"/>
        </w:rPr>
        <w:t>，我们做到了</w:t>
      </w:r>
      <w:r>
        <w:rPr>
          <w:rFonts w:ascii="宋体" w:hAnsi="宋体" w:eastAsia="宋体"/>
          <w:sz w:val="24"/>
        </w:rPr>
        <w:t>采集模版动态配置化。数据展示维度</w:t>
      </w:r>
      <w:r>
        <w:rPr>
          <w:rFonts w:ascii="宋体" w:hAnsi="宋体" w:eastAsia="宋体"/>
          <w:sz w:val="24"/>
        </w:rPr>
        <w:t>丰富、高自由度、安全性的</w:t>
      </w:r>
      <w:r>
        <w:rPr>
          <w:rFonts w:ascii="宋体" w:hAnsi="宋体" w:eastAsia="宋体"/>
          <w:sz w:val="24"/>
        </w:rPr>
        <w:t>权限设计</w:t>
      </w:r>
      <w:r>
        <w:rPr>
          <w:rFonts w:ascii="宋体" w:hAnsi="宋体" w:eastAsia="宋体"/>
          <w:sz w:val="24"/>
        </w:rPr>
        <w:t>、</w:t>
      </w:r>
      <w:r>
        <w:rPr>
          <w:rFonts w:ascii="宋体" w:hAnsi="宋体" w:eastAsia="宋体"/>
          <w:sz w:val="24"/>
        </w:rPr>
        <w:t>完全符合行方业务人员的要求。</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针对行方的</w:t>
      </w:r>
      <w:r>
        <w:rPr>
          <w:rFonts w:ascii="宋体" w:hAnsi="宋体" w:eastAsia="宋体"/>
          <w:sz w:val="24"/>
        </w:rPr>
        <w:t>性能要求：通过行方关于吞吐量、网络带宽、并发数、性能计数、承载能力的系统参数测试、客户端正常、系统运行正常。</w:t>
      </w:r>
      <w:r>
        <w:rPr>
          <w:rFonts w:ascii="宋体" w:hAnsi="宋体" w:eastAsia="宋体"/>
          <w:sz w:val="24"/>
        </w:rPr>
        <w:t>并且所有模块</w:t>
      </w:r>
      <w:r>
        <w:rPr>
          <w:rFonts w:ascii="宋体" w:hAnsi="宋体" w:eastAsia="宋体"/>
          <w:sz w:val="24"/>
        </w:rPr>
        <w:t>满足任何场景下的热横纵向拓展</w:t>
      </w:r>
      <w:r>
        <w:rPr>
          <w:rFonts w:ascii="宋体" w:hAnsi="宋体" w:eastAsia="宋体"/>
          <w:sz w:val="24"/>
        </w:rPr>
        <w:t>。</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针对行方的</w:t>
      </w:r>
      <w:r>
        <w:rPr>
          <w:rFonts w:ascii="宋体" w:hAnsi="宋体" w:eastAsia="宋体"/>
          <w:sz w:val="24"/>
        </w:rPr>
        <w:t>安全性要求</w:t>
      </w:r>
      <w:r>
        <w:rPr>
          <w:rFonts w:ascii="宋体" w:hAnsi="宋体" w:eastAsia="宋体"/>
          <w:sz w:val="24"/>
        </w:rPr>
        <w:t>，我们完成了以下几点：</w:t>
      </w:r>
    </w:p>
    <w:p>
      <w:pPr>
        <w:spacing w:before="100" w:beforeAutospacing="1" w:after="100" w:afterAutospacing="1" w:line="312" w:lineRule="auto"/>
        <w:ind w:left="420" w:leftChars="200" w:firstLine="480" w:firstLineChars="200"/>
        <w:rPr>
          <w:rFonts w:ascii="宋体" w:hAnsi="宋体" w:eastAsia="宋体"/>
          <w:sz w:val="24"/>
        </w:rPr>
      </w:pPr>
      <w:r>
        <w:rPr>
          <w:rFonts w:ascii="宋体" w:hAnsi="宋体" w:eastAsia="宋体"/>
          <w:sz w:val="24"/>
        </w:rPr>
        <w:t>1)在日志中不出现口令明文、密钥等敏感信息；</w:t>
      </w:r>
    </w:p>
    <w:p>
      <w:pPr>
        <w:spacing w:before="100" w:beforeAutospacing="1" w:after="100" w:afterAutospacing="1" w:line="312" w:lineRule="auto"/>
        <w:ind w:left="420" w:leftChars="200" w:firstLine="480" w:firstLineChars="200"/>
        <w:rPr>
          <w:rFonts w:ascii="宋体" w:hAnsi="宋体" w:eastAsia="宋体"/>
          <w:sz w:val="24"/>
        </w:rPr>
      </w:pPr>
      <w:r>
        <w:rPr>
          <w:rFonts w:ascii="宋体" w:hAnsi="宋体" w:eastAsia="宋体"/>
          <w:sz w:val="24"/>
        </w:rPr>
        <w:t>2)针对用户的每次操作，可在后端/前端提供日志及表格供查询审计。</w:t>
      </w:r>
    </w:p>
    <w:p>
      <w:pPr>
        <w:spacing w:before="100" w:beforeAutospacing="1" w:after="100" w:afterAutospacing="1" w:line="312" w:lineRule="auto"/>
        <w:ind w:left="420" w:leftChars="200" w:firstLine="480" w:firstLineChars="200"/>
        <w:rPr>
          <w:rFonts w:ascii="宋体" w:hAnsi="宋体" w:eastAsia="宋体"/>
          <w:sz w:val="24"/>
        </w:rPr>
      </w:pPr>
      <w:r>
        <w:rPr>
          <w:rFonts w:ascii="宋体" w:hAnsi="宋体" w:eastAsia="宋体"/>
          <w:sz w:val="24"/>
        </w:rPr>
        <w:t>3)在配置文件中不出现口令明文。</w:t>
      </w:r>
    </w:p>
    <w:p>
      <w:pPr>
        <w:spacing w:before="100" w:beforeAutospacing="1" w:after="100" w:afterAutospacing="1" w:line="312" w:lineRule="auto"/>
        <w:ind w:left="420" w:leftChars="200" w:firstLine="480" w:firstLineChars="200"/>
        <w:rPr>
          <w:rFonts w:ascii="宋体" w:hAnsi="宋体" w:eastAsia="宋体"/>
          <w:sz w:val="24"/>
        </w:rPr>
      </w:pPr>
      <w:r>
        <w:rPr>
          <w:rFonts w:ascii="宋体" w:hAnsi="宋体" w:eastAsia="宋体"/>
          <w:sz w:val="24"/>
        </w:rPr>
        <w:t>4)在数据库中不出现口令明文，涉及相关敏感信息必须加密处理。</w:t>
      </w:r>
    </w:p>
    <w:p>
      <w:pPr>
        <w:spacing w:before="100" w:beforeAutospacing="1" w:after="100" w:afterAutospacing="1" w:line="312" w:lineRule="auto"/>
        <w:ind w:left="420" w:leftChars="200" w:firstLine="480" w:firstLineChars="200"/>
        <w:rPr>
          <w:rFonts w:ascii="宋体" w:hAnsi="宋体" w:eastAsia="宋体"/>
          <w:sz w:val="24"/>
        </w:rPr>
      </w:pPr>
      <w:r>
        <w:rPr>
          <w:rFonts w:ascii="宋体" w:hAnsi="宋体" w:eastAsia="宋体"/>
          <w:sz w:val="24"/>
        </w:rPr>
        <w:t>5)提供全站HTTPS访问服务。</w:t>
      </w:r>
    </w:p>
    <w:p>
      <w:pPr>
        <w:pStyle w:val="3"/>
        <w:numPr>
          <w:ilvl w:val="0"/>
          <w:numId w:val="1"/>
        </w:numPr>
        <w:rPr>
          <w:rFonts w:ascii="宋体" w:hAnsi="宋体" w:eastAsia="宋体"/>
          <w:sz w:val="24"/>
        </w:rPr>
      </w:pPr>
      <w:bookmarkStart w:id="18" w:name="_Toc4490095"/>
      <w:r>
        <w:t>百果园案例</w:t>
      </w:r>
      <w:bookmarkEnd w:id="18"/>
    </w:p>
    <w:p>
      <w:pPr>
        <w:pStyle w:val="4"/>
        <w:rPr>
          <w:rStyle w:val="26"/>
          <w:b/>
          <w:bCs w:val="0"/>
        </w:rPr>
      </w:pPr>
      <w:bookmarkStart w:id="19" w:name="_Toc4490096"/>
      <w:r>
        <w:rPr>
          <w:rStyle w:val="26"/>
          <w:b/>
          <w:bCs w:val="0"/>
        </w:rPr>
        <w:t>项目背景</w:t>
      </w:r>
      <w:r>
        <w:rPr>
          <w:rStyle w:val="26"/>
          <w:b/>
          <w:bCs w:val="0"/>
        </w:rPr>
        <w:t>：</w:t>
      </w:r>
      <w:bookmarkEnd w:id="19"/>
    </w:p>
    <w:p>
      <w:pPr>
        <w:pStyle w:val="31"/>
        <w:tabs>
          <w:tab w:val="left" w:pos="360"/>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spacing w:before="100" w:beforeAutospacing="1" w:after="100" w:afterAutospacing="1" w:line="312" w:lineRule="auto"/>
        <w:ind w:left="420" w:firstLine="0" w:firstLineChars="0"/>
        <w:rPr>
          <w:rFonts w:ascii="宋体" w:hAnsi="宋体" w:eastAsia="宋体"/>
          <w:sz w:val="24"/>
        </w:rPr>
      </w:pPr>
      <w:r>
        <w:rPr>
          <w:rFonts w:ascii="宋体" w:hAnsi="宋体" w:eastAsia="宋体"/>
          <w:sz w:val="24"/>
        </w:rPr>
        <w:t>通过采集第三方外卖平台自身数据和竞品数据</w:t>
      </w:r>
      <w:r>
        <w:rPr>
          <w:rFonts w:ascii="宋体" w:hAnsi="宋体" w:eastAsia="宋体"/>
          <w:sz w:val="24"/>
        </w:rPr>
        <w:t>，并进行分析处理。满足了百果园对于行业数据采集、竞品分析的需求。</w:t>
      </w:r>
    </w:p>
    <w:p>
      <w:pPr>
        <w:pStyle w:val="4"/>
        <w:rPr>
          <w:rStyle w:val="26"/>
          <w:b/>
          <w:bCs w:val="0"/>
        </w:rPr>
      </w:pPr>
      <w:bookmarkStart w:id="20" w:name="_Toc4490097"/>
      <w:r>
        <w:rPr>
          <w:rStyle w:val="26"/>
          <w:b/>
          <w:bCs w:val="0"/>
        </w:rPr>
        <w:t>需求分析：</w:t>
      </w:r>
      <w:bookmarkEnd w:id="20"/>
    </w:p>
    <w:p>
      <w:pPr>
        <w:spacing w:before="100" w:beforeAutospacing="1" w:after="100" w:afterAutospacing="1" w:line="312" w:lineRule="auto"/>
        <w:ind w:firstLine="420" w:firstLineChars="0"/>
        <w:rPr>
          <w:rFonts w:ascii="宋体" w:hAnsi="宋体" w:eastAsia="宋体"/>
          <w:sz w:val="24"/>
        </w:rPr>
      </w:pPr>
      <w:r>
        <w:rPr>
          <w:rFonts w:ascii="宋体" w:hAnsi="宋体" w:eastAsia="宋体"/>
          <w:bCs/>
          <w:sz w:val="24"/>
          <w:szCs w:val="24"/>
        </w:rPr>
        <w:t>百</w:t>
      </w:r>
      <w:r>
        <w:rPr>
          <w:rFonts w:ascii="宋体" w:hAnsi="宋体" w:eastAsia="宋体"/>
          <w:sz w:val="24"/>
        </w:rPr>
        <w:t>果园通过数据，需要得到以下信息。</w:t>
      </w:r>
    </w:p>
    <w:p>
      <w:pPr>
        <w:pStyle w:val="31"/>
        <w:numPr>
          <w:ilvl w:val="0"/>
          <w:numId w:val="2"/>
        </w:numPr>
        <w:spacing w:before="100" w:beforeAutospacing="1" w:after="100" w:afterAutospacing="1" w:line="312" w:lineRule="auto"/>
        <w:ind w:firstLineChars="0"/>
        <w:rPr>
          <w:rFonts w:ascii="宋体" w:hAnsi="宋体" w:eastAsia="宋体"/>
          <w:sz w:val="24"/>
        </w:rPr>
      </w:pPr>
      <w:r>
        <w:rPr>
          <w:rFonts w:ascii="宋体" w:hAnsi="宋体" w:eastAsia="宋体"/>
          <w:sz w:val="24"/>
        </w:rPr>
        <w:t>区域运营数据：包括指定区域监控、我方产品在指定区域的市场差异，通过BI分析，从而优化运营提高销量。</w:t>
      </w:r>
    </w:p>
    <w:p>
      <w:pPr>
        <w:pStyle w:val="31"/>
        <w:numPr>
          <w:ilvl w:val="0"/>
          <w:numId w:val="2"/>
        </w:numPr>
        <w:spacing w:before="100" w:beforeAutospacing="1" w:after="100" w:afterAutospacing="1" w:line="312" w:lineRule="auto"/>
        <w:ind w:firstLineChars="0"/>
        <w:rPr>
          <w:rFonts w:ascii="宋体" w:hAnsi="宋体" w:eastAsia="宋体"/>
          <w:sz w:val="24"/>
        </w:rPr>
      </w:pPr>
      <w:r>
        <w:rPr>
          <w:rFonts w:ascii="宋体" w:hAnsi="宋体" w:eastAsia="宋体"/>
          <w:sz w:val="24"/>
        </w:rPr>
        <w:t>渠道分布数据：监控城市为单位的热销分布，获得全渠道市场数据。分析品牌份额及趋势。</w:t>
      </w:r>
    </w:p>
    <w:p>
      <w:pPr>
        <w:pStyle w:val="31"/>
        <w:numPr>
          <w:ilvl w:val="0"/>
          <w:numId w:val="2"/>
        </w:numPr>
        <w:spacing w:before="100" w:beforeAutospacing="1" w:after="100" w:afterAutospacing="1" w:line="312" w:lineRule="auto"/>
        <w:ind w:firstLineChars="0"/>
        <w:rPr>
          <w:rFonts w:ascii="宋体" w:hAnsi="宋体" w:eastAsia="宋体"/>
          <w:sz w:val="24"/>
        </w:rPr>
      </w:pPr>
      <w:r>
        <w:rPr>
          <w:rFonts w:ascii="宋体" w:hAnsi="宋体" w:eastAsia="宋体"/>
          <w:sz w:val="24"/>
        </w:rPr>
        <w:t>竞品数据对比：通过了解品牌分布及特征，掌握详细对比差异，监控竞品运营动态。</w:t>
      </w:r>
    </w:p>
    <w:p>
      <w:pPr>
        <w:pStyle w:val="3"/>
      </w:pPr>
      <w:bookmarkStart w:id="21" w:name="_Toc4490098"/>
      <w:r>
        <w:t>解决方案</w:t>
      </w:r>
      <w:r>
        <w:t>：</w:t>
      </w:r>
      <w:bookmarkEnd w:id="21"/>
    </w:p>
    <w:p>
      <w:pPr>
        <w:rPr>
          <w:rFonts w:ascii="宋体" w:hAnsi="宋体" w:eastAsia="宋体"/>
          <w:sz w:val="24"/>
        </w:rPr>
      </w:pPr>
      <w:r>
        <w:rPr>
          <w:rFonts w:ascii="宋体" w:hAnsi="宋体" w:eastAsia="宋体"/>
          <w:sz w:val="24"/>
        </w:rPr>
        <w:drawing>
          <wp:inline distT="0" distB="0" distL="114300" distR="114300">
            <wp:extent cx="5269865" cy="26269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865" cy="2626995"/>
                    </a:xfrm>
                    <a:prstGeom prst="rect">
                      <a:avLst/>
                    </a:prstGeom>
                    <a:noFill/>
                    <a:ln w="9525">
                      <a:noFill/>
                    </a:ln>
                  </pic:spPr>
                </pic:pic>
              </a:graphicData>
            </a:graphic>
          </wp:inline>
        </w:drawing>
      </w:r>
    </w:p>
    <w:p>
      <w:pPr>
        <w:rPr>
          <w:rFonts w:ascii="宋体" w:hAnsi="宋体" w:eastAsia="宋体"/>
          <w:sz w:val="24"/>
        </w:rPr>
      </w:pPr>
      <w:r>
        <w:rPr>
          <w:rFonts w:ascii="宋体" w:hAnsi="宋体" w:eastAsia="宋体"/>
          <w:sz w:val="24"/>
        </w:rPr>
        <w:drawing>
          <wp:inline distT="0" distB="0" distL="114300" distR="114300">
            <wp:extent cx="5268595" cy="1470025"/>
            <wp:effectExtent l="0" t="0" r="146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1470025"/>
                    </a:xfrm>
                    <a:prstGeom prst="rect">
                      <a:avLst/>
                    </a:prstGeom>
                    <a:noFill/>
                    <a:ln w="9525">
                      <a:noFill/>
                    </a:ln>
                  </pic:spPr>
                </pic:pic>
              </a:graphicData>
            </a:graphic>
          </wp:inline>
        </w:drawing>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利用我们小蜜蜂采集系统，突破美团、饿了么多渠道反爬，模拟自动定位APP，实时返回全国所有地点的外卖信息。</w:t>
      </w:r>
    </w:p>
    <w:p>
      <w:pPr>
        <w:spacing w:before="100" w:beforeAutospacing="1" w:after="100" w:afterAutospacing="1" w:line="312" w:lineRule="auto"/>
        <w:ind w:firstLine="480" w:firstLineChars="200"/>
        <w:rPr>
          <w:rFonts w:ascii="宋体" w:hAnsi="宋体" w:eastAsia="宋体"/>
          <w:sz w:val="24"/>
        </w:rPr>
      </w:pPr>
      <w:r>
        <w:rPr>
          <w:rFonts w:ascii="宋体" w:hAnsi="宋体" w:eastAsia="宋体"/>
          <w:sz w:val="24"/>
        </w:rPr>
        <w:t>在数据处理分析上，我们</w:t>
      </w:r>
      <w:r>
        <w:rPr>
          <w:rFonts w:ascii="宋体" w:hAnsi="宋体" w:eastAsia="宋体"/>
          <w:sz w:val="24"/>
        </w:rPr>
        <w:t>设计了基于</w:t>
      </w:r>
      <w:r>
        <w:rPr>
          <w:rFonts w:ascii="宋体" w:hAnsi="宋体" w:eastAsia="宋体"/>
          <w:sz w:val="24"/>
        </w:rPr>
        <w:t>卷积深度学习模型，该模型针对问题中过拟合的情况，分析了</w:t>
      </w:r>
      <w:r>
        <w:rPr>
          <w:rFonts w:ascii="宋体" w:hAnsi="宋体" w:eastAsia="宋体"/>
          <w:sz w:val="24"/>
        </w:rPr>
        <w:t>部分特征</w:t>
      </w:r>
      <w:r>
        <w:rPr>
          <w:rFonts w:ascii="宋体" w:hAnsi="宋体" w:eastAsia="宋体"/>
          <w:sz w:val="24"/>
        </w:rPr>
        <w:t>过拟合造成的，我们针对这个问题修正了神经网络的传递函数</w:t>
      </w:r>
      <w:r>
        <w:rPr>
          <w:rFonts w:ascii="宋体" w:hAnsi="宋体" w:eastAsia="宋体"/>
          <w:sz w:val="24"/>
        </w:rPr>
        <w:t>、并进行了部分人为干涉</w:t>
      </w:r>
      <w:r>
        <w:rPr>
          <w:rFonts w:ascii="宋体" w:hAnsi="宋体" w:eastAsia="宋体"/>
          <w:sz w:val="24"/>
        </w:rPr>
        <w:t>，从而使得模型在全局最优和局部最优中达到了平衡。通过该模型输入了半年的全国的抓取数据记录。通过训练，模型可以做到预测水果销量90%以上的准确度（正负10%）。在高维、复杂、非结构化、预测情形大数据处理任务中，获得了甲方的肯定。</w:t>
      </w:r>
    </w:p>
    <w:p>
      <w:pPr>
        <w:pStyle w:val="2"/>
      </w:pPr>
      <w:r>
        <w:t>四、</w:t>
      </w:r>
      <w:r>
        <w:t>阿里云流计算</w:t>
      </w:r>
      <w:r>
        <w:t>简介</w:t>
      </w:r>
    </w:p>
    <w:p>
      <w:pPr>
        <w:pStyle w:val="3"/>
      </w:pPr>
      <w:r>
        <w:t>阿里云：</w:t>
      </w:r>
    </w:p>
    <w:p>
      <w:pPr>
        <w:pStyle w:val="31"/>
        <w:numPr>
          <w:numId w:val="0"/>
        </w:numPr>
        <w:spacing w:before="100" w:beforeAutospacing="1" w:after="100" w:afterAutospacing="1" w:line="312" w:lineRule="auto"/>
        <w:ind w:leftChars="0" w:firstLine="420" w:firstLineChars="0"/>
        <w:rPr>
          <w:rFonts w:ascii="宋体" w:hAnsi="宋体" w:eastAsia="宋体"/>
          <w:sz w:val="24"/>
        </w:rPr>
      </w:pPr>
      <w:r>
        <w:rPr>
          <w:rFonts w:ascii="宋体" w:hAnsi="宋体" w:eastAsia="宋体"/>
          <w:sz w:val="24"/>
        </w:rPr>
        <w:t>我公司所有第三方（或甲方）托管交付的项目，皆是采购阿里云服务支撑。包括云服务器、CDN、域名、数据库等。有专属大客户经理，在与阿里云业务沟通中熟悉其工单系统、运维系统等。</w:t>
      </w:r>
    </w:p>
    <w:p>
      <w:pPr>
        <w:pStyle w:val="31"/>
        <w:numPr>
          <w:numId w:val="0"/>
        </w:numPr>
        <w:spacing w:before="100" w:beforeAutospacing="1" w:after="100" w:afterAutospacing="1" w:line="312" w:lineRule="auto"/>
        <w:ind w:leftChars="0" w:firstLine="420" w:firstLineChars="0"/>
        <w:rPr>
          <w:rFonts w:ascii="宋体" w:hAnsi="宋体" w:eastAsia="宋体"/>
          <w:sz w:val="24"/>
        </w:rPr>
      </w:pPr>
      <w:r>
        <w:rPr>
          <w:rFonts w:ascii="宋体" w:hAnsi="宋体" w:eastAsia="宋体"/>
          <w:sz w:val="24"/>
        </w:rPr>
        <w:t>阿里云</w:t>
      </w:r>
      <w:r>
        <w:rPr>
          <w:rFonts w:ascii="宋体" w:hAnsi="宋体" w:eastAsia="宋体"/>
          <w:sz w:val="24"/>
        </w:rPr>
        <w:t>云服务</w:t>
      </w:r>
      <w:r>
        <w:rPr>
          <w:rFonts w:ascii="宋体" w:hAnsi="宋体" w:eastAsia="宋体"/>
          <w:sz w:val="24"/>
        </w:rPr>
        <w:t>在</w:t>
      </w:r>
      <w:r>
        <w:rPr>
          <w:rFonts w:ascii="宋体" w:hAnsi="宋体" w:eastAsia="宋体"/>
          <w:sz w:val="24"/>
        </w:rPr>
        <w:t>我方涉及</w:t>
      </w:r>
      <w:r>
        <w:rPr>
          <w:rFonts w:ascii="宋体" w:hAnsi="宋体" w:eastAsia="宋体"/>
          <w:sz w:val="24"/>
        </w:rPr>
        <w:t>第三方托管交付的项目中，在稳定性、需求边界确定、运维</w:t>
      </w:r>
      <w:r>
        <w:rPr>
          <w:rFonts w:ascii="宋体" w:hAnsi="宋体" w:eastAsia="宋体"/>
          <w:sz w:val="24"/>
        </w:rPr>
        <w:t>、定价</w:t>
      </w:r>
      <w:r>
        <w:rPr>
          <w:rFonts w:ascii="宋体" w:hAnsi="宋体" w:eastAsia="宋体"/>
          <w:sz w:val="24"/>
        </w:rPr>
        <w:t>等方面有着独到的优势。</w:t>
      </w:r>
    </w:p>
    <w:p>
      <w:pPr>
        <w:pStyle w:val="3"/>
      </w:pPr>
      <w:r>
        <w:t>流计算：</w:t>
      </w:r>
    </w:p>
    <w:p>
      <w:pPr>
        <w:pStyle w:val="31"/>
        <w:numPr>
          <w:numId w:val="0"/>
        </w:numPr>
        <w:spacing w:before="100" w:beforeAutospacing="1" w:after="100" w:afterAutospacing="1" w:line="312" w:lineRule="auto"/>
        <w:ind w:leftChars="0" w:firstLine="420" w:firstLineChars="0"/>
        <w:rPr>
          <w:rFonts w:ascii="宋体" w:hAnsi="宋体" w:eastAsia="宋体"/>
          <w:sz w:val="24"/>
        </w:rPr>
      </w:pPr>
      <w:r>
        <w:rPr>
          <w:rFonts w:ascii="宋体" w:hAnsi="宋体" w:eastAsia="宋体"/>
          <w:sz w:val="24"/>
        </w:rPr>
        <w:t>我公司未采购过阿里云实时计算服务，主因是阿里云实时计算服务基于Flink开发。我公司有完整的Flink开发能力，无需额外支付成本采购阿里云Flink实时计算服务。在我公司搭建的基于Flink一站式高性能实时大数据处理平台，在部署运维、作业开发、FlinkSQL使用方面，都具有丰富的经验。如果贵公司以采购阿里云实时计算作为技术选型的条件下，更能如虎添翼，性能更上一个台阶。</w:t>
      </w:r>
    </w:p>
    <w:p>
      <w:pPr>
        <w:widowControl/>
        <w:jc w:val="left"/>
      </w:pPr>
      <w:r>
        <w:br w:type="page"/>
      </w:r>
    </w:p>
    <w:p>
      <w:pPr>
        <w:pStyle w:val="2"/>
        <w:numPr>
          <w:ilvl w:val="0"/>
          <w:numId w:val="3"/>
        </w:numPr>
        <w:tabs>
          <w:tab w:val="left" w:pos="4778"/>
        </w:tabs>
        <w:rPr>
          <w:rFonts w:hint="default"/>
        </w:rPr>
      </w:pPr>
      <w:bookmarkStart w:id="22" w:name="_Toc4490099"/>
      <w:r>
        <w:rPr>
          <w:rFonts w:hint="default"/>
        </w:rPr>
        <w:t>技术方案</w:t>
      </w:r>
      <w:r>
        <w:rPr>
          <w:rFonts w:hint="default"/>
        </w:rPr>
        <w:tab/>
      </w:r>
    </w:p>
    <w:p>
      <w:pPr>
        <w:pStyle w:val="3"/>
        <w:rPr>
          <w:rFonts w:hint="default"/>
        </w:rPr>
      </w:pPr>
      <w:r>
        <w:rPr>
          <w:rFonts w:hint="default"/>
        </w:rPr>
        <w:t>架构图：</w:t>
      </w:r>
    </w:p>
    <w:p>
      <w:pPr>
        <w:pStyle w:val="2"/>
      </w:pPr>
      <w:r>
        <w:drawing>
          <wp:inline distT="0" distB="0" distL="114300" distR="114300">
            <wp:extent cx="5267960" cy="1854835"/>
            <wp:effectExtent l="0" t="0" r="15240" b="247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7960" cy="1854835"/>
                    </a:xfrm>
                    <a:prstGeom prst="rect">
                      <a:avLst/>
                    </a:prstGeom>
                    <a:noFill/>
                    <a:ln w="9525">
                      <a:noFill/>
                    </a:ln>
                  </pic:spPr>
                </pic:pic>
              </a:graphicData>
            </a:graphic>
          </wp:inline>
        </w:drawing>
      </w:r>
    </w:p>
    <w:p>
      <w:pPr>
        <w:pStyle w:val="3"/>
      </w:pPr>
      <w:r>
        <w:t>方案介绍：</w:t>
      </w:r>
    </w:p>
    <w:p>
      <w:pPr>
        <w:ind w:firstLine="420" w:firstLineChars="0"/>
      </w:pPr>
    </w:p>
    <w:p>
      <w:pPr>
        <w:pStyle w:val="3"/>
        <w:rPr>
          <w:rFonts w:hint="eastAsia"/>
        </w:rPr>
      </w:pPr>
    </w:p>
    <w:p>
      <w:pPr>
        <w:pStyle w:val="2"/>
      </w:pPr>
      <w:r>
        <w:rPr>
          <w:rFonts w:hint="default"/>
        </w:rPr>
        <w:t>六</w:t>
      </w:r>
      <w:r>
        <w:rPr>
          <w:rFonts w:hint="eastAsia"/>
        </w:rPr>
        <w:t>、专业资质</w:t>
      </w:r>
      <w:bookmarkEnd w:id="10"/>
      <w:bookmarkEnd w:id="22"/>
    </w:p>
    <w:p>
      <w:pPr>
        <w:pStyle w:val="4"/>
      </w:pPr>
      <w:bookmarkStart w:id="23" w:name="_Toc4490100"/>
      <w:r>
        <w:rPr>
          <w:rFonts w:hint="eastAsia"/>
        </w:rPr>
        <w:t>C</w:t>
      </w:r>
      <w:r>
        <w:t>MMI3</w:t>
      </w:r>
      <w:bookmarkEnd w:id="23"/>
    </w:p>
    <w:p>
      <w:r>
        <w:drawing>
          <wp:inline distT="0" distB="0" distL="0" distR="0">
            <wp:extent cx="5274310" cy="30149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rcRect l="1445"/>
                    <a:stretch>
                      <a:fillRect/>
                    </a:stretch>
                  </pic:blipFill>
                  <pic:spPr>
                    <a:xfrm>
                      <a:off x="0" y="0"/>
                      <a:ext cx="5274310" cy="3015414"/>
                    </a:xfrm>
                    <a:prstGeom prst="rect">
                      <a:avLst/>
                    </a:prstGeom>
                    <a:noFill/>
                    <a:ln>
                      <a:noFill/>
                    </a:ln>
                  </pic:spPr>
                </pic:pic>
              </a:graphicData>
            </a:graphic>
          </wp:inline>
        </w:drawing>
      </w:r>
    </w:p>
    <w:p>
      <w:pPr>
        <w:widowControl/>
        <w:jc w:val="left"/>
      </w:pPr>
      <w:r>
        <w:br w:type="page"/>
      </w:r>
    </w:p>
    <w:p>
      <w:pPr>
        <w:pStyle w:val="4"/>
      </w:pPr>
      <w:bookmarkStart w:id="24" w:name="_Toc4490101"/>
      <w:r>
        <w:rPr>
          <w:rFonts w:hint="eastAsia"/>
        </w:rPr>
        <w:t>企业质量管理体系认证证书</w:t>
      </w:r>
      <w:bookmarkEnd w:id="24"/>
    </w:p>
    <w:p>
      <w:r>
        <w:rPr>
          <w:rFonts w:ascii="仿宋_GB2312" w:hAnsi="宋体" w:eastAsia="仿宋_GB2312"/>
        </w:rPr>
        <w:drawing>
          <wp:inline distT="0" distB="0" distL="0" distR="0">
            <wp:extent cx="5248275" cy="7210425"/>
            <wp:effectExtent l="0" t="0" r="9525" b="9525"/>
            <wp:docPr id="33" name="图片 33" descr="I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SO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48275" cy="7210425"/>
                    </a:xfrm>
                    <a:prstGeom prst="rect">
                      <a:avLst/>
                    </a:prstGeom>
                    <a:noFill/>
                    <a:ln>
                      <a:noFill/>
                    </a:ln>
                  </pic:spPr>
                </pic:pic>
              </a:graphicData>
            </a:graphic>
          </wp:inline>
        </w:drawing>
      </w:r>
    </w:p>
    <w:p/>
    <w:p>
      <w:pPr>
        <w:rPr>
          <w:color w:val="FF0000"/>
          <w:highlight w:val="yellow"/>
        </w:rPr>
      </w:pPr>
    </w:p>
    <w:p>
      <w:pPr>
        <w:widowControl/>
        <w:jc w:val="left"/>
        <w:rPr>
          <w:color w:val="FF0000"/>
          <w:highlight w:val="yellow"/>
        </w:rPr>
      </w:pPr>
      <w:r>
        <w:rPr>
          <w:color w:val="FF0000"/>
          <w:highlight w:val="yellow"/>
        </w:rPr>
        <w:br w:type="page"/>
      </w:r>
    </w:p>
    <w:p>
      <w:pPr>
        <w:pStyle w:val="4"/>
      </w:pPr>
      <w:bookmarkStart w:id="25" w:name="_Toc4490102"/>
      <w:r>
        <w:rPr>
          <w:rFonts w:hint="eastAsia"/>
        </w:rPr>
        <w:t>发明专利</w:t>
      </w:r>
      <w:bookmarkEnd w:id="25"/>
      <w:r>
        <w:rPr>
          <w:rFonts w:hint="eastAsia"/>
        </w:rPr>
        <w:t>（4项）</w:t>
      </w:r>
    </w:p>
    <w:p>
      <w:pPr>
        <w:pStyle w:val="5"/>
      </w:pPr>
      <w:r>
        <w:rPr>
          <w:rFonts w:hint="eastAsia"/>
        </w:rPr>
        <w:t>HTML文档信息抽取表达式的方法及系统</w:t>
      </w:r>
    </w:p>
    <w:p>
      <w:r>
        <w:drawing>
          <wp:inline distT="0" distB="0" distL="0" distR="0">
            <wp:extent cx="5267325" cy="74580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7458075"/>
                    </a:xfrm>
                    <a:prstGeom prst="rect">
                      <a:avLst/>
                    </a:prstGeom>
                    <a:noFill/>
                    <a:ln>
                      <a:noFill/>
                    </a:ln>
                  </pic:spPr>
                </pic:pic>
              </a:graphicData>
            </a:graphic>
          </wp:inline>
        </w:drawing>
      </w:r>
    </w:p>
    <w:p/>
    <w:p>
      <w:pPr>
        <w:pStyle w:val="5"/>
      </w:pPr>
      <w:r>
        <w:rPr>
          <w:rFonts w:hint="eastAsia"/>
        </w:rPr>
        <w:t>基于字符热更新的混合索引方法及系统</w:t>
      </w:r>
    </w:p>
    <w:p>
      <w:r>
        <w:drawing>
          <wp:inline distT="0" distB="0" distL="0" distR="0">
            <wp:extent cx="5133975" cy="72199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3975" cy="7219950"/>
                    </a:xfrm>
                    <a:prstGeom prst="rect">
                      <a:avLst/>
                    </a:prstGeom>
                    <a:noFill/>
                    <a:ln>
                      <a:noFill/>
                    </a:ln>
                  </pic:spPr>
                </pic:pic>
              </a:graphicData>
            </a:graphic>
          </wp:inline>
        </w:drawing>
      </w:r>
    </w:p>
    <w:p/>
    <w:p>
      <w:pPr>
        <w:widowControl/>
        <w:jc w:val="left"/>
      </w:pPr>
    </w:p>
    <w:p>
      <w:pPr>
        <w:pStyle w:val="5"/>
      </w:pPr>
      <w:r>
        <w:rPr>
          <w:rFonts w:hint="eastAsia"/>
        </w:rPr>
        <w:t>基于旋转投影宽度的拉丁字符倾斜纠正方法及系统</w:t>
      </w:r>
    </w:p>
    <w:p>
      <w:pPr>
        <w:widowControl/>
        <w:jc w:val="left"/>
      </w:pPr>
      <w:r>
        <w:drawing>
          <wp:inline distT="0" distB="0" distL="0" distR="0">
            <wp:extent cx="4819015" cy="6771005"/>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4819048" cy="6771428"/>
                    </a:xfrm>
                    <a:prstGeom prst="rect">
                      <a:avLst/>
                    </a:prstGeom>
                  </pic:spPr>
                </pic:pic>
              </a:graphicData>
            </a:graphic>
          </wp:inline>
        </w:drawing>
      </w:r>
    </w:p>
    <w:p>
      <w:pPr>
        <w:widowControl/>
        <w:jc w:val="left"/>
      </w:pPr>
    </w:p>
    <w:p>
      <w:pPr>
        <w:widowControl/>
        <w:jc w:val="left"/>
      </w:pPr>
    </w:p>
    <w:p>
      <w:pPr>
        <w:widowControl/>
        <w:jc w:val="left"/>
        <w:rPr>
          <w:rFonts w:hint="eastAsia"/>
        </w:rPr>
      </w:pPr>
      <w:r>
        <w:br w:type="page"/>
      </w:r>
    </w:p>
    <w:p>
      <w:pPr>
        <w:pStyle w:val="5"/>
      </w:pPr>
      <w:r>
        <w:rPr>
          <w:rFonts w:hint="eastAsia"/>
        </w:rPr>
        <w:t>数据混合存储装置及计算机系统</w:t>
      </w:r>
    </w:p>
    <w:p>
      <w:r>
        <w:object>
          <v:shape id="_x0000_i1025" o:spt="75" type="#_x0000_t75" style="height:582.75pt;width:412.5pt;" o:ole="t" filled="f" o:preferrelative="t" stroked="f" coordsize="21600,21600">
            <v:path/>
            <v:fill on="f" focussize="0,0"/>
            <v:stroke on="f" joinstyle="miter"/>
            <v:imagedata r:id="rId16" o:title=""/>
            <o:lock v:ext="edit" aspectratio="t"/>
            <w10:wrap type="none"/>
            <w10:anchorlock/>
          </v:shape>
          <o:OLEObject Type="Embed" ProgID="FoxitReader.Document" ShapeID="_x0000_i1025" DrawAspect="Content" ObjectID="_1468075725" r:id="rId15">
            <o:LockedField>false</o:LockedField>
          </o:OLEObject>
        </w:object>
      </w:r>
    </w:p>
    <w:p/>
    <w:p/>
    <w:p/>
    <w:p/>
    <w:p/>
    <w:p>
      <w:pPr>
        <w:pStyle w:val="4"/>
      </w:pPr>
      <w:bookmarkStart w:id="26" w:name="_Toc4490103"/>
      <w:r>
        <w:rPr>
          <w:rFonts w:hint="eastAsia"/>
        </w:rPr>
        <w:t>软件著作（部分）</w:t>
      </w:r>
      <w:bookmarkEnd w:id="26"/>
    </w:p>
    <w:p>
      <w:r>
        <w:drawing>
          <wp:inline distT="0" distB="0" distL="0" distR="0">
            <wp:extent cx="5274310" cy="714057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140575"/>
                    </a:xfrm>
                    <a:prstGeom prst="rect">
                      <a:avLst/>
                    </a:prstGeom>
                    <a:noFill/>
                    <a:ln>
                      <a:noFill/>
                    </a:ln>
                  </pic:spPr>
                </pic:pic>
              </a:graphicData>
            </a:graphic>
          </wp:inline>
        </w:drawing>
      </w:r>
    </w:p>
    <w:p>
      <w:r>
        <w:drawing>
          <wp:inline distT="0" distB="0" distL="0" distR="0">
            <wp:extent cx="5274310" cy="72453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245350"/>
                    </a:xfrm>
                    <a:prstGeom prst="rect">
                      <a:avLst/>
                    </a:prstGeom>
                    <a:noFill/>
                    <a:ln>
                      <a:noFill/>
                    </a:ln>
                  </pic:spPr>
                </pic:pic>
              </a:graphicData>
            </a:graphic>
          </wp:inline>
        </w:drawing>
      </w:r>
    </w:p>
    <w:p>
      <w:r>
        <w:drawing>
          <wp:inline distT="0" distB="0" distL="0" distR="0">
            <wp:extent cx="5274310" cy="71405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140575"/>
                    </a:xfrm>
                    <a:prstGeom prst="rect">
                      <a:avLst/>
                    </a:prstGeom>
                    <a:noFill/>
                    <a:ln>
                      <a:noFill/>
                    </a:ln>
                  </pic:spPr>
                </pic:pic>
              </a:graphicData>
            </a:graphic>
          </wp:inline>
        </w:drawing>
      </w:r>
      <w:r>
        <w:drawing>
          <wp:inline distT="0" distB="0" distL="0" distR="0">
            <wp:extent cx="5274310" cy="714057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7140575"/>
                    </a:xfrm>
                    <a:prstGeom prst="rect">
                      <a:avLst/>
                    </a:prstGeom>
                    <a:noFill/>
                    <a:ln>
                      <a:noFill/>
                    </a:ln>
                  </pic:spPr>
                </pic:pic>
              </a:graphicData>
            </a:graphic>
          </wp:inline>
        </w:drawing>
      </w:r>
      <w:r>
        <w:drawing>
          <wp:inline distT="0" distB="0" distL="0" distR="0">
            <wp:extent cx="5274310" cy="724535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7245350"/>
                    </a:xfrm>
                    <a:prstGeom prst="rect">
                      <a:avLst/>
                    </a:prstGeom>
                    <a:noFill/>
                    <a:ln>
                      <a:noFill/>
                    </a:ln>
                  </pic:spPr>
                </pic:pic>
              </a:graphicData>
            </a:graphic>
          </wp:inline>
        </w:drawing>
      </w:r>
    </w:p>
    <w:p>
      <w:r>
        <w:drawing>
          <wp:inline distT="0" distB="0" distL="0" distR="0">
            <wp:extent cx="5029200" cy="69342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29200" cy="6934200"/>
                    </a:xfrm>
                    <a:prstGeom prst="rect">
                      <a:avLst/>
                    </a:prstGeom>
                    <a:noFill/>
                    <a:ln>
                      <a:noFill/>
                    </a:ln>
                  </pic:spPr>
                </pic:pic>
              </a:graphicData>
            </a:graphic>
          </wp:inline>
        </w:drawing>
      </w:r>
    </w:p>
    <w:p>
      <w:r>
        <w:drawing>
          <wp:inline distT="0" distB="0" distL="0" distR="0">
            <wp:extent cx="5067300" cy="69056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67300" cy="6905625"/>
                    </a:xfrm>
                    <a:prstGeom prst="rect">
                      <a:avLst/>
                    </a:prstGeom>
                    <a:noFill/>
                    <a:ln>
                      <a:noFill/>
                    </a:ln>
                  </pic:spPr>
                </pic:pic>
              </a:graphicData>
            </a:graphic>
          </wp:inline>
        </w:drawing>
      </w:r>
    </w:p>
    <w:p/>
    <w:p/>
    <w:p/>
    <w:p/>
    <w:p/>
    <w:p/>
    <w:p>
      <w:r>
        <w:drawing>
          <wp:inline distT="0" distB="0" distL="0" distR="0">
            <wp:extent cx="5038725" cy="68580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38725" cy="6858000"/>
                    </a:xfrm>
                    <a:prstGeom prst="rect">
                      <a:avLst/>
                    </a:prstGeom>
                    <a:noFill/>
                    <a:ln>
                      <a:noFill/>
                    </a:ln>
                  </pic:spPr>
                </pic:pic>
              </a:graphicData>
            </a:graphic>
          </wp:inline>
        </w:drawing>
      </w:r>
    </w:p>
    <w:p/>
    <w:p/>
    <w:p/>
    <w:p/>
    <w:p>
      <w:pPr>
        <w:widowControl/>
        <w:jc w:val="lef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swiss"/>
    <w:pitch w:val="default"/>
    <w:sig w:usb0="FFFFFFFF" w:usb1="E9FFFFFF" w:usb2="0000003F" w:usb3="00000000" w:csb0="603F01FF" w:csb1="FFFF0000"/>
  </w:font>
  <w:font w:name="等线">
    <w:altName w:val="HYZhongDengXianKW"/>
    <w:panose1 w:val="02010600030101010101"/>
    <w:charset w:val="86"/>
    <w:family w:val="auto"/>
    <w:pitch w:val="default"/>
    <w:sig w:usb0="00000000" w:usb1="00000000" w:usb2="00000016" w:usb3="00000000" w:csb0="0004000F" w:csb1="00000000"/>
  </w:font>
  <w:font w:name="Wingdings">
    <w:panose1 w:val="05000000000000000000"/>
    <w:charset w:val="02"/>
    <w:family w:val="auto"/>
    <w:pitch w:val="default"/>
    <w:sig w:usb0="00000000" w:usb1="00000000" w:usb2="00000000" w:usb3="00000000" w:csb0="80000000" w:csb1="00000000"/>
  </w:font>
  <w:font w:name="黑体">
    <w:altName w:val="HYZhongHeiKW"/>
    <w:panose1 w:val="02010609060101010101"/>
    <w:charset w:val="86"/>
    <w:family w:val="modern"/>
    <w:pitch w:val="default"/>
    <w:sig w:usb0="00000000" w:usb1="00000000" w:usb2="00000016" w:usb3="00000000" w:csb0="00040001" w:csb1="00000000"/>
  </w:font>
  <w:font w:name="Helvetica">
    <w:panose1 w:val="00000000000000000000"/>
    <w:charset w:val="00"/>
    <w:family w:val="swiss"/>
    <w:pitch w:val="default"/>
    <w:sig w:usb0="E00002FF" w:usb1="5000785B" w:usb2="00000000" w:usb3="00000000" w:csb0="2000019F" w:csb1="4F010000"/>
  </w:font>
  <w:font w:name="微软雅黑">
    <w:altName w:val="HYQiHeiKW"/>
    <w:panose1 w:val="020B0503020204020204"/>
    <w:charset w:val="86"/>
    <w:family w:val="swiss"/>
    <w:pitch w:val="default"/>
    <w:sig w:usb0="00000000" w:usb1="00000000"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仿宋_GB2312">
    <w:altName w:val="HYFangSongKW"/>
    <w:panose1 w:val="00000000000000000000"/>
    <w:charset w:val="86"/>
    <w:family w:val="modern"/>
    <w:pitch w:val="default"/>
    <w:sig w:usb0="00000000" w:usb1="00000000" w:usb2="00000010" w:usb3="00000000" w:csb0="00040000" w:csb1="00000000"/>
  </w:font>
  <w:font w:name="冬青黑体简体中文">
    <w:panose1 w:val="020B0300000000000000"/>
    <w:charset w:val="86"/>
    <w:family w:val="auto"/>
    <w:pitch w:val="default"/>
    <w:sig w:usb0="A00002BF" w:usb1="1ACF7CFA" w:usb2="00000016" w:usb3="00000000" w:csb0="00060007" w:csb1="00000000"/>
  </w:font>
  <w:font w:name="HYQiHeiKW">
    <w:panose1 w:val="00020600040101010101"/>
    <w:charset w:val="86"/>
    <w:family w:val="auto"/>
    <w:pitch w:val="default"/>
    <w:sig w:usb0="A00002BF" w:usb1="3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HYZhongDengXianKW">
    <w:panose1 w:val="01010104010101010101"/>
    <w:charset w:val="86"/>
    <w:family w:val="auto"/>
    <w:pitch w:val="default"/>
    <w:sig w:usb0="800002BF" w:usb1="004F7CFA" w:usb2="00000000" w:usb3="00000000" w:csb0="00040001" w:csb1="00000000"/>
  </w:font>
  <w:font w:name="HYFangSongKW">
    <w:panose1 w:val="00020600040101010101"/>
    <w:charset w:val="86"/>
    <w:family w:val="auto"/>
    <w:pitch w:val="default"/>
    <w:sig w:usb0="A00002BF" w:usb1="18EF7CFA" w:usb2="00000016" w:usb3="00000000" w:csb0="00040000" w:csb1="00000000"/>
  </w:font>
  <w:font w:name="HYZhongHeiKW">
    <w:panose1 w:val="00020600040101010101"/>
    <w:charset w:val="86"/>
    <w:family w:val="auto"/>
    <w:pitch w:val="default"/>
    <w:sig w:usb0="A00002BF" w:usb1="18EF7CFA" w:usb2="00000016" w:usb3="00000000" w:csb0="00040000" w:csb1="00000000"/>
  </w:font>
  <w:font w:name="Calibri Light">
    <w:altName w:val="Helvetica Neue"/>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sdt>
        <w:sdtPr>
          <w:id w:val="1728636285"/>
        </w:sdtPr>
        <w:sdtContent>
          <w:p>
            <w:pPr>
              <w:pStyle w:val="12"/>
              <w:jc w:val="center"/>
            </w:pPr>
          </w:p>
          <w:p>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2E6"/>
    <w:multiLevelType w:val="multilevel"/>
    <w:tmpl w:val="033832E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99D9D6"/>
    <w:multiLevelType w:val="singleLevel"/>
    <w:tmpl w:val="5C99D9D6"/>
    <w:lvl w:ilvl="0" w:tentative="0">
      <w:start w:val="5"/>
      <w:numFmt w:val="chineseCounting"/>
      <w:suff w:val="nothing"/>
      <w:lvlText w:val="%1、"/>
      <w:lvlJc w:val="left"/>
    </w:lvl>
  </w:abstractNum>
  <w:abstractNum w:abstractNumId="2">
    <w:nsid w:val="622E3AD1"/>
    <w:multiLevelType w:val="multilevel"/>
    <w:tmpl w:val="622E3AD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6D"/>
    <w:rsid w:val="0005410F"/>
    <w:rsid w:val="00083909"/>
    <w:rsid w:val="00095D9F"/>
    <w:rsid w:val="000B0AB7"/>
    <w:rsid w:val="000B6D8F"/>
    <w:rsid w:val="000C0752"/>
    <w:rsid w:val="000C16A8"/>
    <w:rsid w:val="000D490A"/>
    <w:rsid w:val="001201E1"/>
    <w:rsid w:val="001847BE"/>
    <w:rsid w:val="001866C4"/>
    <w:rsid w:val="001A2C92"/>
    <w:rsid w:val="001A6042"/>
    <w:rsid w:val="001A73E1"/>
    <w:rsid w:val="001C026D"/>
    <w:rsid w:val="001F3B34"/>
    <w:rsid w:val="00201105"/>
    <w:rsid w:val="00233C88"/>
    <w:rsid w:val="0026636F"/>
    <w:rsid w:val="002D5574"/>
    <w:rsid w:val="002E3115"/>
    <w:rsid w:val="00317C57"/>
    <w:rsid w:val="00325163"/>
    <w:rsid w:val="00342D4E"/>
    <w:rsid w:val="00374687"/>
    <w:rsid w:val="00397B45"/>
    <w:rsid w:val="003B51A9"/>
    <w:rsid w:val="003B5D48"/>
    <w:rsid w:val="003E2277"/>
    <w:rsid w:val="003F055D"/>
    <w:rsid w:val="00423B85"/>
    <w:rsid w:val="00441C2C"/>
    <w:rsid w:val="00442B5C"/>
    <w:rsid w:val="0045015D"/>
    <w:rsid w:val="0046037C"/>
    <w:rsid w:val="0048470A"/>
    <w:rsid w:val="004866E2"/>
    <w:rsid w:val="00491762"/>
    <w:rsid w:val="004B7D9D"/>
    <w:rsid w:val="004F57B9"/>
    <w:rsid w:val="0052380C"/>
    <w:rsid w:val="00541C97"/>
    <w:rsid w:val="005620F0"/>
    <w:rsid w:val="005719F7"/>
    <w:rsid w:val="00582A8C"/>
    <w:rsid w:val="00584116"/>
    <w:rsid w:val="00592E0C"/>
    <w:rsid w:val="006508DC"/>
    <w:rsid w:val="006B7DAE"/>
    <w:rsid w:val="006F5C14"/>
    <w:rsid w:val="00702F69"/>
    <w:rsid w:val="0073400F"/>
    <w:rsid w:val="007417D8"/>
    <w:rsid w:val="007510EA"/>
    <w:rsid w:val="007B070D"/>
    <w:rsid w:val="007E32DA"/>
    <w:rsid w:val="007E759B"/>
    <w:rsid w:val="00812E0D"/>
    <w:rsid w:val="00897751"/>
    <w:rsid w:val="008F3F93"/>
    <w:rsid w:val="0096709E"/>
    <w:rsid w:val="00995661"/>
    <w:rsid w:val="009A598A"/>
    <w:rsid w:val="009B1077"/>
    <w:rsid w:val="009E032B"/>
    <w:rsid w:val="009E043B"/>
    <w:rsid w:val="00A00663"/>
    <w:rsid w:val="00A32249"/>
    <w:rsid w:val="00A614A5"/>
    <w:rsid w:val="00A81103"/>
    <w:rsid w:val="00A90AD3"/>
    <w:rsid w:val="00A94C92"/>
    <w:rsid w:val="00AF2946"/>
    <w:rsid w:val="00AF2C8B"/>
    <w:rsid w:val="00B11949"/>
    <w:rsid w:val="00B31FE9"/>
    <w:rsid w:val="00B44B49"/>
    <w:rsid w:val="00B533D7"/>
    <w:rsid w:val="00B61B9E"/>
    <w:rsid w:val="00B76F50"/>
    <w:rsid w:val="00B976F8"/>
    <w:rsid w:val="00BB3164"/>
    <w:rsid w:val="00BE27AF"/>
    <w:rsid w:val="00C01A14"/>
    <w:rsid w:val="00C0341F"/>
    <w:rsid w:val="00C0358A"/>
    <w:rsid w:val="00C568CF"/>
    <w:rsid w:val="00C64949"/>
    <w:rsid w:val="00C82D05"/>
    <w:rsid w:val="00C83AD7"/>
    <w:rsid w:val="00CA6E69"/>
    <w:rsid w:val="00CC2FC6"/>
    <w:rsid w:val="00CE7495"/>
    <w:rsid w:val="00CF5A0E"/>
    <w:rsid w:val="00D13123"/>
    <w:rsid w:val="00D53DB8"/>
    <w:rsid w:val="00D910DB"/>
    <w:rsid w:val="00D95145"/>
    <w:rsid w:val="00DA4169"/>
    <w:rsid w:val="00DC42D4"/>
    <w:rsid w:val="00DE2009"/>
    <w:rsid w:val="00DE3FA8"/>
    <w:rsid w:val="00E13BC3"/>
    <w:rsid w:val="00E208F5"/>
    <w:rsid w:val="00E21CE4"/>
    <w:rsid w:val="00E32376"/>
    <w:rsid w:val="00E36993"/>
    <w:rsid w:val="00E455B2"/>
    <w:rsid w:val="00ED6582"/>
    <w:rsid w:val="00EE5DA9"/>
    <w:rsid w:val="00EF355E"/>
    <w:rsid w:val="00F008FA"/>
    <w:rsid w:val="00F20B8B"/>
    <w:rsid w:val="00F6776F"/>
    <w:rsid w:val="00F978E7"/>
    <w:rsid w:val="00FA7B31"/>
    <w:rsid w:val="00FE3C50"/>
    <w:rsid w:val="00FF5E91"/>
    <w:rsid w:val="00FF7A31"/>
    <w:rsid w:val="37FFE952"/>
    <w:rsid w:val="6F783524"/>
    <w:rsid w:val="737FD672"/>
    <w:rsid w:val="7FCD8FA8"/>
    <w:rsid w:val="B7FB1AD5"/>
    <w:rsid w:val="CFAFDF43"/>
    <w:rsid w:val="DDFD9103"/>
    <w:rsid w:val="E9DE9453"/>
    <w:rsid w:val="F6B378B9"/>
    <w:rsid w:val="F90F62BB"/>
    <w:rsid w:val="FA6DFDD9"/>
    <w:rsid w:val="FDEDB307"/>
    <w:rsid w:val="FFFB4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7"/>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8">
    <w:name w:val="toc 3"/>
    <w:basedOn w:val="1"/>
    <w:next w:val="1"/>
    <w:unhideWhenUsed/>
    <w:uiPriority w:val="39"/>
    <w:pPr>
      <w:ind w:left="840" w:leftChars="400"/>
    </w:pPr>
  </w:style>
  <w:style w:type="paragraph" w:styleId="9">
    <w:name w:val="Plain Text"/>
    <w:basedOn w:val="1"/>
    <w:link w:val="36"/>
    <w:uiPriority w:val="0"/>
    <w:pPr>
      <w:spacing w:line="360" w:lineRule="auto"/>
    </w:pPr>
    <w:rPr>
      <w:rFonts w:ascii="宋体" w:hAnsi="Courier New"/>
      <w:sz w:val="24"/>
    </w:rPr>
  </w:style>
  <w:style w:type="paragraph" w:styleId="10">
    <w:name w:val="Body Text Indent 2"/>
    <w:basedOn w:val="1"/>
    <w:link w:val="21"/>
    <w:uiPriority w:val="0"/>
    <w:pPr>
      <w:spacing w:line="360" w:lineRule="auto"/>
      <w:ind w:firstLine="1040"/>
      <w:jc w:val="center"/>
    </w:pPr>
    <w:rPr>
      <w:rFonts w:ascii="黑体" w:hAnsi="Times New Roman" w:eastAsia="黑体" w:cs="Times New Roman"/>
      <w:sz w:val="52"/>
      <w:szCs w:val="20"/>
    </w:rPr>
  </w:style>
  <w:style w:type="paragraph" w:styleId="11">
    <w:name w:val="Balloon Text"/>
    <w:basedOn w:val="1"/>
    <w:link w:val="38"/>
    <w:unhideWhenUsed/>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uiPriority w:val="39"/>
    <w:pPr>
      <w:widowControl/>
      <w:spacing w:after="100" w:line="259" w:lineRule="auto"/>
      <w:jc w:val="left"/>
    </w:pPr>
    <w:rPr>
      <w:rFonts w:cs="Times New Roman"/>
      <w:kern w:val="0"/>
      <w:sz w:val="22"/>
    </w:rPr>
  </w:style>
  <w:style w:type="paragraph" w:styleId="15">
    <w:name w:val="toc 4"/>
    <w:basedOn w:val="1"/>
    <w:next w:val="1"/>
    <w:unhideWhenUsed/>
    <w:uiPriority w:val="39"/>
    <w:pPr>
      <w:ind w:left="1260" w:leftChars="600"/>
    </w:pPr>
  </w:style>
  <w:style w:type="paragraph" w:styleId="16">
    <w:name w:val="toc 2"/>
    <w:basedOn w:val="1"/>
    <w:next w:val="1"/>
    <w:unhideWhenUsed/>
    <w:uiPriority w:val="39"/>
    <w:pPr>
      <w:tabs>
        <w:tab w:val="right" w:leader="dot" w:pos="8296"/>
      </w:tabs>
      <w:spacing w:line="360" w:lineRule="auto"/>
      <w:ind w:left="420" w:leftChars="200"/>
    </w:pPr>
  </w:style>
  <w:style w:type="character" w:styleId="18">
    <w:name w:val="Strong"/>
    <w:basedOn w:val="17"/>
    <w:qFormat/>
    <w:uiPriority w:val="0"/>
    <w:rPr>
      <w:b/>
      <w:bCs/>
    </w:rPr>
  </w:style>
  <w:style w:type="character" w:styleId="19">
    <w:name w:val="Hyperlink"/>
    <w:qFormat/>
    <w:uiPriority w:val="99"/>
    <w:rPr>
      <w:color w:val="0000FF"/>
      <w:u w:val="single"/>
    </w:rPr>
  </w:style>
  <w:style w:type="character" w:customStyle="1" w:styleId="21">
    <w:name w:val="正文文本缩进 2 字符"/>
    <w:basedOn w:val="17"/>
    <w:link w:val="10"/>
    <w:uiPriority w:val="0"/>
    <w:rPr>
      <w:rFonts w:ascii="黑体" w:hAnsi="Times New Roman" w:eastAsia="黑体" w:cs="Times New Roman"/>
      <w:sz w:val="52"/>
      <w:szCs w:val="20"/>
    </w:rPr>
  </w:style>
  <w:style w:type="character" w:customStyle="1" w:styleId="22">
    <w:name w:val="标题 1 字符"/>
    <w:basedOn w:val="17"/>
    <w:link w:val="2"/>
    <w:uiPriority w:val="9"/>
    <w:rPr>
      <w:b/>
      <w:bCs/>
      <w:kern w:val="44"/>
      <w:sz w:val="44"/>
      <w:szCs w:val="44"/>
    </w:rPr>
  </w:style>
  <w:style w:type="character" w:customStyle="1" w:styleId="23">
    <w:name w:val="标题 2 字符"/>
    <w:basedOn w:val="17"/>
    <w:link w:val="3"/>
    <w:uiPriority w:val="9"/>
    <w:rPr>
      <w:rFonts w:asciiTheme="majorHAnsi" w:hAnsiTheme="majorHAnsi" w:eastAsiaTheme="majorEastAsia" w:cstheme="majorBidi"/>
      <w:b/>
      <w:bCs/>
      <w:sz w:val="32"/>
      <w:szCs w:val="32"/>
    </w:rPr>
  </w:style>
  <w:style w:type="character" w:customStyle="1" w:styleId="24">
    <w:name w:val="页眉 字符"/>
    <w:basedOn w:val="17"/>
    <w:link w:val="13"/>
    <w:uiPriority w:val="99"/>
    <w:rPr>
      <w:sz w:val="18"/>
      <w:szCs w:val="18"/>
    </w:rPr>
  </w:style>
  <w:style w:type="character" w:customStyle="1" w:styleId="25">
    <w:name w:val="页脚 字符"/>
    <w:basedOn w:val="17"/>
    <w:link w:val="12"/>
    <w:qFormat/>
    <w:uiPriority w:val="99"/>
    <w:rPr>
      <w:sz w:val="18"/>
      <w:szCs w:val="18"/>
    </w:rPr>
  </w:style>
  <w:style w:type="character" w:customStyle="1" w:styleId="26">
    <w:name w:val="标题 3 字符"/>
    <w:basedOn w:val="17"/>
    <w:link w:val="4"/>
    <w:qFormat/>
    <w:uiPriority w:val="0"/>
    <w:rPr>
      <w:b/>
      <w:bCs/>
      <w:sz w:val="32"/>
      <w:szCs w:val="32"/>
    </w:rPr>
  </w:style>
  <w:style w:type="character" w:customStyle="1" w:styleId="27">
    <w:name w:val="标题 4 字符"/>
    <w:basedOn w:val="17"/>
    <w:link w:val="5"/>
    <w:qFormat/>
    <w:uiPriority w:val="9"/>
    <w:rPr>
      <w:rFonts w:asciiTheme="majorHAnsi" w:hAnsiTheme="majorHAnsi" w:eastAsiaTheme="majorEastAsia" w:cstheme="majorBidi"/>
      <w:b/>
      <w:bCs/>
      <w:sz w:val="28"/>
      <w:szCs w:val="28"/>
    </w:rPr>
  </w:style>
  <w:style w:type="character" w:customStyle="1" w:styleId="28">
    <w:name w:val="标题 5 字符"/>
    <w:basedOn w:val="17"/>
    <w:link w:val="6"/>
    <w:qFormat/>
    <w:uiPriority w:val="9"/>
    <w:rPr>
      <w:b/>
      <w:bCs/>
      <w:sz w:val="28"/>
      <w:szCs w:val="28"/>
    </w:rPr>
  </w:style>
  <w:style w:type="table" w:customStyle="1" w:styleId="29">
    <w:name w:val="Table 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Times New Roman"/>
      <w:kern w:val="0"/>
      <w:sz w:val="20"/>
      <w:szCs w:val="20"/>
    </w:rPr>
    <w:tblPr>
      <w:tblLayout w:type="fixed"/>
      <w:tblCellMar>
        <w:top w:w="0" w:type="dxa"/>
        <w:left w:w="0" w:type="dxa"/>
        <w:bottom w:w="0" w:type="dxa"/>
        <w:right w:w="0" w:type="dxa"/>
      </w:tblCellMar>
    </w:tblPr>
  </w:style>
  <w:style w:type="paragraph" w:customStyle="1" w:styleId="3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200"/>
      <w:jc w:val="both"/>
    </w:pPr>
    <w:rPr>
      <w:rFonts w:hint="eastAsia" w:ascii="Arial Unicode MS" w:hAnsi="Arial Unicode MS" w:eastAsia="Times New Roman" w:cs="Arial Unicode MS"/>
      <w:color w:val="000000"/>
      <w:kern w:val="2"/>
      <w:sz w:val="24"/>
      <w:szCs w:val="24"/>
      <w:u w:color="000000"/>
      <w:lang w:val="en-US" w:eastAsia="zh-CN" w:bidi="ar-SA"/>
    </w:rPr>
  </w:style>
  <w:style w:type="paragraph" w:customStyle="1" w:styleId="31">
    <w:name w:val="List Paragraph"/>
    <w:basedOn w:val="1"/>
    <w:qFormat/>
    <w:uiPriority w:val="99"/>
    <w:pPr>
      <w:ind w:firstLine="420" w:firstLineChars="200"/>
    </w:pPr>
  </w:style>
  <w:style w:type="paragraph" w:customStyle="1" w:styleId="32">
    <w:name w:val="默认"/>
    <w:uiPriority w:val="0"/>
    <w:pPr>
      <w:pBdr>
        <w:top w:val="none" w:color="auto" w:sz="0" w:space="0"/>
        <w:left w:val="none" w:color="auto" w:sz="0" w:space="0"/>
        <w:bottom w:val="none" w:color="auto" w:sz="0" w:space="0"/>
        <w:right w:val="none" w:color="auto" w:sz="0" w:space="0"/>
        <w:between w:val="none" w:color="auto" w:sz="0" w:space="0"/>
      </w:pBdr>
    </w:pPr>
    <w:rPr>
      <w:rFonts w:ascii="Helvetica" w:hAnsi="Helvetica" w:eastAsia="Helvetica" w:cs="Helvetica"/>
      <w:color w:val="000000"/>
      <w:kern w:val="0"/>
      <w:sz w:val="22"/>
      <w:szCs w:val="22"/>
      <w:lang w:val="en-US" w:eastAsia="zh-CN" w:bidi="ar-SA"/>
    </w:rPr>
  </w:style>
  <w:style w:type="character" w:customStyle="1" w:styleId="33">
    <w:name w:val="Hyperlink.0"/>
    <w:uiPriority w:val="0"/>
  </w:style>
  <w:style w:type="paragraph" w:customStyle="1" w:styleId="34">
    <w:name w:val="_Style 26"/>
    <w:basedOn w:val="1"/>
    <w:next w:val="31"/>
    <w:qFormat/>
    <w:uiPriority w:val="34"/>
    <w:pPr>
      <w:spacing w:line="360" w:lineRule="auto"/>
      <w:ind w:firstLine="420" w:firstLineChars="200"/>
    </w:pPr>
    <w:rPr>
      <w:rFonts w:ascii="Calibri" w:hAnsi="Calibri" w:eastAsia="微软雅黑" w:cs="Times New Roman"/>
      <w:sz w:val="24"/>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6">
    <w:name w:val="纯文本 字符"/>
    <w:basedOn w:val="17"/>
    <w:link w:val="9"/>
    <w:uiPriority w:val="0"/>
    <w:rPr>
      <w:rFonts w:ascii="宋体" w:hAnsi="Courier New"/>
      <w:sz w:val="24"/>
    </w:rPr>
  </w:style>
  <w:style w:type="character" w:customStyle="1" w:styleId="37">
    <w:name w:val="标题 6 字符"/>
    <w:basedOn w:val="17"/>
    <w:link w:val="7"/>
    <w:uiPriority w:val="9"/>
    <w:rPr>
      <w:rFonts w:asciiTheme="majorHAnsi" w:hAnsiTheme="majorHAnsi" w:eastAsiaTheme="majorEastAsia" w:cstheme="majorBidi"/>
      <w:b/>
      <w:bCs/>
      <w:sz w:val="24"/>
      <w:szCs w:val="24"/>
    </w:rPr>
  </w:style>
  <w:style w:type="character" w:customStyle="1" w:styleId="38">
    <w:name w:val="批注框文本 字符"/>
    <w:basedOn w:val="17"/>
    <w:link w:val="11"/>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tif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740</Words>
  <Characters>4222</Characters>
  <Lines>35</Lines>
  <Paragraphs>9</Paragraphs>
  <TotalTime>0</TotalTime>
  <ScaleCrop>false</ScaleCrop>
  <LinksUpToDate>false</LinksUpToDate>
  <CharactersWithSpaces>4953</CharactersWithSpaces>
  <Application>WPS Office_1.0.0.1087_F1E327BC-269C-435d-A152-05C5408002CA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2019-01-02T14:03:00Z</dcterms:created>
  <dc:creator>my Job</dc:creator>
  <cp:lastModifiedBy>magic</cp:lastModifiedBy>
  <dcterms:modified xsi:type="dcterms:W3CDTF">2019-03-26T15:50:33Z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